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819-2_4seq1.xml.htm"/>
      <w:bookmarkStart w:id="1" w:name="kstm2625819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Paolillo Regina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XBP GLOBAL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6641 N. BELT LINE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XBP Global Holdings, Inc.</w:t>
              </w:r>
            </w:hyperlink>
            <w:r>
              <w:rPr/>
              <w:t xml:space="preserve"> [ </w:t>
            </w:r>
            <w:r>
              <w:rPr>
                <w:rFonts w:ascii="Times;serif" w:hAnsi="Times;serif"/>
                <w:color w:val="0000FF"/>
                <w:sz w:val="24"/>
                <w:shd w:fill="FFFFFF" w:val="clear"/>
              </w:rPr>
              <w:t>XBP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55,031</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75,617</w:t>
            </w:r>
            <w:r>
              <w:rPr>
                <w:rFonts w:ascii="Times;serif" w:hAnsi="Times;serif"/>
                <w:color w:val="008000"/>
                <w:position w:val="7"/>
                <w:sz w:val="16"/>
                <w:sz w:val="20"/>
                <w:shd w:fill="FFFFFF" w:val="clear"/>
              </w:rPr>
              <w:t>(2)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issued to the Reporting Person under the Company's 2024 Stock Incentive Plan, as amended. The RSUs are scheduled to vest in full on August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December 12, 2025, the Issuer's common stock reverse split 1-for-10 (the "Reverse Split"), resulting in a decrease of 185,272 shares in the reporting person's ownership of common stock. Includes RSUs previously granted to the Reporting Person under the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Regina Paolillo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4574" TargetMode="External"/><Relationship Id="rId5" Type="http://schemas.openxmlformats.org/officeDocument/2006/relationships/hyperlink" Target="http://www.sec.gov/cgi-bin/browse-edgar?action=getcompany&amp;CIK=00018395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3482</Characters>
  <CharactersWithSpaces>4059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