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6124d2_8k.htm"/>
      <w:bookmarkStart w:id="1" w:name="kstm2616124d2_8k"/>
      <w:bookmarkEnd w:id="0"/>
      <w:bookmarkEnd w:id="1"/>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UNITED STATES</w:t>
        <w:br/>
        <w:t>SECURITIES AND EXCHANGE COMMISSION</w:t>
      </w:r>
      <w:r>
        <w:rPr>
          <w:rFonts w:ascii="Times New Roman;Times;Serif" w:hAnsi="Times New Roman;Times;Serif"/>
          <w:b/>
          <w:i w:val="false"/>
          <w:caps w:val="false"/>
          <w:smallCaps w:val="false"/>
          <w:sz w:val="20"/>
        </w:rPr>
        <w:b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C_edei--DocumentType_c20260529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Section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2"/>
        </w:rPr>
      </w:pPr>
      <w:bookmarkStart w:id="4" w:name="xdx_903_edei--EntityRegistrantName_c2026"/>
      <w:bookmarkEnd w:id="4"/>
      <w:r>
        <w:rPr>
          <w:rFonts w:ascii="Times New Roman;Times;Serif" w:hAnsi="Times New Roman;Times;Serif"/>
          <w:b/>
          <w:i w:val="false"/>
          <w:caps w:val="false"/>
          <w:smallCaps w:val="false"/>
          <w:sz w:val="42"/>
        </w:rPr>
        <w:t>XBP Global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2705"/>
        <w:gridCol w:w="60"/>
        <w:gridCol w:w="2210"/>
        <w:gridCol w:w="60"/>
        <w:gridCol w:w="1895"/>
      </w:tblGrid>
      <w:tr>
        <w:trPr/>
        <w:tc>
          <w:tcPr>
            <w:tcW w:w="2705"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0529"/>
            <w:bookmarkEnd w:id="6"/>
            <w:r>
              <w:rPr>
                <w:rFonts w:ascii="Times New Roman;Times;Serif" w:hAnsi="Times New Roman;Times;Serif"/>
                <w:b/>
                <w:sz w:val="20"/>
              </w:rPr>
              <w:t>001-40206</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85-2002883</w:t>
            </w:r>
          </w:p>
        </w:tc>
      </w:tr>
      <w:tr>
        <w:trPr/>
        <w:tc>
          <w:tcPr>
            <w:tcW w:w="27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6641 N. Belt Line Road, </w:t>
            </w:r>
            <w:bookmarkStart w:id="9" w:name="xdx_904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Irving, </w:t>
            </w:r>
            <w:bookmarkStart w:id="11" w:name="xdx_900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8_edei--EntityAddressPostalZipCode"/>
            <w:bookmarkEnd w:id="12"/>
            <w:r>
              <w:rPr>
                <w:rFonts w:ascii="Times New Roman;Times;Serif" w:hAnsi="Times New Roman;Times;Serif"/>
                <w:b/>
                <w:sz w:val="20"/>
              </w:rPr>
              <w:t>75063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529__20"/>
      <w:bookmarkEnd w:id="13"/>
      <w:r>
        <w:rPr>
          <w:rFonts w:ascii="Times New Roman;Times;Serif" w:hAnsi="Times New Roman;Times;Serif"/>
          <w:b/>
          <w:i w:val="false"/>
          <w:caps w:val="false"/>
          <w:smallCaps w:val="false"/>
          <w:sz w:val="20"/>
        </w:rPr>
        <w:t xml:space="preserve">844) </w:t>
      </w:r>
      <w:bookmarkStart w:id="14" w:name="xdx_90D_edei--LocalPhoneNumber_c20260529"/>
      <w:bookmarkEnd w:id="14"/>
      <w:r>
        <w:rPr>
          <w:rFonts w:ascii="Times New Roman;Times;Serif" w:hAnsi="Times New Roman;Times;Serif"/>
          <w:b/>
          <w:i w:val="false"/>
          <w:caps w:val="false"/>
          <w:smallCaps w:val="false"/>
          <w:sz w:val="20"/>
        </w:rPr>
        <w:t>935-2832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5" w:name="xdx_902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6" w:name="xdx_90F_edei--SolicitingMaterial_c202605"/>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7" w:name="xdx_908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8" w:name="xdx_905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52"/>
        <w:gridCol w:w="60"/>
        <w:gridCol w:w="825"/>
        <w:gridCol w:w="60"/>
        <w:gridCol w:w="2108"/>
      </w:tblGrid>
      <w:tr>
        <w:trPr/>
        <w:tc>
          <w:tcPr>
            <w:tcW w:w="7152" w:type="dxa"/>
            <w:tcBorders>
              <w:bottom w:val="single" w:sz="8" w:space="0" w:color="000000"/>
            </w:tcBorders>
            <w:vAlign w:val="center"/>
          </w:tcPr>
          <w:p>
            <w:pPr>
              <w:pStyle w:val="TableContents"/>
              <w:bidi w:val="0"/>
              <w:spacing w:before="0" w:after="283"/>
              <w:jc w:val="left"/>
              <w:rPr>
                <w:b/>
              </w:rPr>
            </w:pPr>
            <w:r>
              <w:rPr>
                <w:b/>
              </w:rPr>
              <w:t>Title of each class</w:t>
            </w:r>
          </w:p>
        </w:tc>
        <w:tc>
          <w:tcPr>
            <w:tcW w:w="60" w:type="dxa"/>
            <w:tcBorders/>
            <w:tcMar>
              <w:bottom w:w="0" w:type="dxa"/>
            </w:tcMar>
            <w:vAlign w:val="center"/>
          </w:tcPr>
          <w:p>
            <w:pPr>
              <w:pStyle w:val="TableContents"/>
              <w:bidi w:val="0"/>
              <w:spacing w:before="0" w:after="283"/>
              <w:jc w:val="both"/>
              <w:rPr/>
            </w:pPr>
            <w:r>
              <w:rPr/>
              <w:t> </w:t>
            </w:r>
          </w:p>
        </w:tc>
        <w:tc>
          <w:tcPr>
            <w:tcW w:w="8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tcMar>
              <w:bottom w:w="0" w:type="dxa"/>
            </w:tcMar>
            <w:vAlign w:val="center"/>
          </w:tcPr>
          <w:p>
            <w:pPr>
              <w:pStyle w:val="TableContents"/>
              <w:bidi w:val="0"/>
              <w:spacing w:before="0" w:after="283"/>
              <w:jc w:val="left"/>
              <w:rPr/>
            </w:pPr>
            <w:r>
              <w:rPr/>
              <w:t> </w:t>
            </w:r>
          </w:p>
        </w:tc>
        <w:tc>
          <w:tcPr>
            <w:tcW w:w="2108"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7152" w:type="dxa"/>
            <w:tcBorders/>
            <w:tcMar>
              <w:bottom w:w="0" w:type="dxa"/>
            </w:tcMar>
            <w:vAlign w:val="center"/>
          </w:tcPr>
          <w:p>
            <w:pPr>
              <w:pStyle w:val="TableContents"/>
              <w:bidi w:val="0"/>
              <w:spacing w:before="0" w:after="283"/>
              <w:jc w:val="left"/>
              <w:rPr>
                <w:rFonts w:ascii="Times New Roman;Times;Serif" w:hAnsi="Times New Roman;Times;Serif"/>
                <w:sz w:val="20"/>
              </w:rPr>
            </w:pPr>
            <w:bookmarkStart w:id="19" w:name="xdx_90E_edei--Security12bTitle_c20260529"/>
            <w:bookmarkEnd w:id="19"/>
            <w:r>
              <w:rPr>
                <w:rFonts w:ascii="Times New Roman;Times;Serif" w:hAnsi="Times New Roman;Times;Serif"/>
                <w:sz w:val="20"/>
              </w:rPr>
              <w:t>Common stock, par value $0.0001 per share</w:t>
            </w:r>
          </w:p>
        </w:tc>
        <w:tc>
          <w:tcPr>
            <w:tcW w:w="60" w:type="dxa"/>
            <w:tcBorders/>
            <w:tcMar>
              <w:bottom w:w="0" w:type="dxa"/>
            </w:tcMar>
            <w:vAlign w:val="center"/>
          </w:tcPr>
          <w:p>
            <w:pPr>
              <w:pStyle w:val="TableContents"/>
              <w:bidi w:val="0"/>
              <w:spacing w:before="0" w:after="283"/>
              <w:jc w:val="both"/>
              <w:rPr/>
            </w:pPr>
            <w:r>
              <w:rPr/>
              <w:t> </w:t>
            </w:r>
          </w:p>
        </w:tc>
        <w:tc>
          <w:tcPr>
            <w:tcW w:w="8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TradingSymbol_c20260529__2"/>
            <w:bookmarkEnd w:id="20"/>
            <w:r>
              <w:rPr>
                <w:rFonts w:ascii="Times New Roman;Times;Serif" w:hAnsi="Times New Roman;Times;Serif"/>
                <w:sz w:val="20"/>
              </w:rPr>
              <w:t>XBP</w:t>
            </w:r>
          </w:p>
        </w:tc>
        <w:tc>
          <w:tcPr>
            <w:tcW w:w="60" w:type="dxa"/>
            <w:tcBorders/>
            <w:tcMar>
              <w:bottom w:w="0" w:type="dxa"/>
            </w:tcMar>
            <w:vAlign w:val="center"/>
          </w:tcPr>
          <w:p>
            <w:pPr>
              <w:pStyle w:val="TableContents"/>
              <w:bidi w:val="0"/>
              <w:spacing w:before="0" w:after="283"/>
              <w:jc w:val="both"/>
              <w:rPr/>
            </w:pPr>
            <w:r>
              <w:rPr/>
              <w:t> </w:t>
            </w:r>
          </w:p>
        </w:tc>
        <w:tc>
          <w:tcPr>
            <w:tcW w:w="210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8_edei--SecurityExchangeName_c2026"/>
            <w:bookmarkEnd w:id="21"/>
            <w:r>
              <w:rPr>
                <w:rFonts w:ascii="Times New Roman;Times;Serif" w:hAnsi="Times New Roman;Times;Serif"/>
                <w:sz w:val="20"/>
              </w:rPr>
              <w:t>Nasdaq Capital Market</w:t>
            </w:r>
          </w:p>
        </w:tc>
      </w:tr>
      <w:tr>
        <w:trPr/>
        <w:tc>
          <w:tcPr>
            <w:tcW w:w="7152" w:type="dxa"/>
            <w:tcBorders/>
            <w:tcMar>
              <w:bottom w:w="0" w:type="dxa"/>
            </w:tcMar>
            <w:vAlign w:val="center"/>
          </w:tcPr>
          <w:p>
            <w:pPr>
              <w:pStyle w:val="TableContents"/>
              <w:bidi w:val="0"/>
              <w:spacing w:before="0" w:after="283"/>
              <w:jc w:val="left"/>
              <w:rPr>
                <w:rFonts w:ascii="Times New Roman;Times;Serif" w:hAnsi="Times New Roman;Times;Serif"/>
                <w:sz w:val="20"/>
              </w:rPr>
            </w:pPr>
            <w:bookmarkStart w:id="22" w:name="xdx_901_edei--Security12bTitle_c20260529"/>
            <w:bookmarkEnd w:id="22"/>
            <w:r>
              <w:rPr>
                <w:rFonts w:ascii="Times New Roman;Times;Serif" w:hAnsi="Times New Roman;Times;Serif"/>
                <w:sz w:val="20"/>
              </w:rPr>
              <w:t>Redeemable warrants, each ten warrants exercisable for one share of common stock at an exercise price of $115.00 </w:t>
            </w:r>
          </w:p>
        </w:tc>
        <w:tc>
          <w:tcPr>
            <w:tcW w:w="60" w:type="dxa"/>
            <w:tcBorders/>
            <w:tcMar>
              <w:bottom w:w="0" w:type="dxa"/>
            </w:tcMar>
            <w:vAlign w:val="center"/>
          </w:tcPr>
          <w:p>
            <w:pPr>
              <w:pStyle w:val="TableContents"/>
              <w:bidi w:val="0"/>
              <w:spacing w:before="0" w:after="283"/>
              <w:jc w:val="both"/>
              <w:rPr/>
            </w:pPr>
            <w:r>
              <w:rPr/>
              <w:t> </w:t>
            </w:r>
          </w:p>
        </w:tc>
        <w:tc>
          <w:tcPr>
            <w:tcW w:w="8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7_edei--TradingSymbol_c20260529__2"/>
            <w:bookmarkEnd w:id="23"/>
            <w:r>
              <w:rPr>
                <w:rFonts w:ascii="Times New Roman;Times;Serif" w:hAnsi="Times New Roman;Times;Serif"/>
                <w:sz w:val="20"/>
              </w:rPr>
              <w:t>XBPEW</w:t>
            </w:r>
          </w:p>
        </w:tc>
        <w:tc>
          <w:tcPr>
            <w:tcW w:w="60" w:type="dxa"/>
            <w:tcBorders/>
            <w:tcMar>
              <w:bottom w:w="0" w:type="dxa"/>
            </w:tcMar>
            <w:vAlign w:val="center"/>
          </w:tcPr>
          <w:p>
            <w:pPr>
              <w:pStyle w:val="TableContents"/>
              <w:bidi w:val="0"/>
              <w:spacing w:before="0" w:after="283"/>
              <w:jc w:val="both"/>
              <w:rPr/>
            </w:pPr>
            <w:r>
              <w:rPr/>
              <w:t> </w:t>
            </w:r>
          </w:p>
        </w:tc>
        <w:tc>
          <w:tcPr>
            <w:tcW w:w="210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4" w:name="xdx_906_edei--SecurityExchangeName_c2026"/>
            <w:bookmarkEnd w:id="24"/>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XBP Global Holdings, Inc. (the “Company”) held its 2026 annual meeting of stockholders (the “Annual Meeting”). As of the record date, April 21, 2026, there were 11,768,050 shares of Common Stock outstanding and entitled to vote. Approximately 85.92% of outstanding shares were represented at the Annual Meeting. The results for the proposals voted upon at the annual meeting, which are further described in the Company’s definitive proxy statement filed with the Securities and Exchange Commission on April 29, 2026 (the “Proxy Statement”),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Proposal 1</w:t>
            </w:r>
            <w:r>
              <w:rPr>
                <w:rFonts w:ascii="Times New Roman;Times;Serif" w:hAnsi="Times New Roman;Times;Serif"/>
                <w:sz w:val="20"/>
              </w:rPr>
              <w:t xml:space="preserve"> — To consider and vote upon a proposal to elect to the board of directors of the Company (the “Board”) the seven nominees named in the Proxy Statement who have been nominated by the Board to serve as directors until the 2027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28" w:type="dxa"/>
          <w:right w:w="0" w:type="dxa"/>
        </w:tblCellMar>
      </w:tblPr>
      <w:tblGrid>
        <w:gridCol w:w="1475"/>
        <w:gridCol w:w="60"/>
        <w:gridCol w:w="845"/>
        <w:gridCol w:w="60"/>
        <w:gridCol w:w="1295"/>
        <w:gridCol w:w="60"/>
        <w:gridCol w:w="90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w:t>
              <w:br/>
              <w:t>Non-Votes</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Chadha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3,690,975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5,842,383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577,920</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Andrej Jonovic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8,130,779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1,402,579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577,920</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Randal Klein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5,591,900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3,941,458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577,920</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Regina Paolillo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8,372,081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1,161,277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577,920</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Pryor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5,591,905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3,941,453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577,920</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Reynolds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4,597,650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4,935,708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577,920</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Sanjay Srivastava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5,591,899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3,941,459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Proposal 2</w:t>
            </w:r>
            <w:r>
              <w:rPr>
                <w:rFonts w:ascii="Times New Roman;Times;Serif" w:hAnsi="Times New Roman;Times;Serif"/>
                <w:sz w:val="20"/>
              </w:rPr>
              <w:t xml:space="preserve"> — To consider and vote upon a proposal to ratify the appointment of UHY LLP as the Company’s independent registered public accounting firm for the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28" w:type="dxa"/>
          <w:right w:w="0" w:type="dxa"/>
        </w:tblCellMar>
      </w:tblPr>
      <w:tblGrid>
        <w:gridCol w:w="860"/>
        <w:gridCol w:w="60"/>
        <w:gridCol w:w="1160"/>
        <w:gridCol w:w="60"/>
        <w:gridCol w:w="1355"/>
        <w:gridCol w:w="60"/>
        <w:gridCol w:w="9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Abstained</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Broker</w:t>
              <w:br/>
              <w:t>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9,464,489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642,788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Proposal 3</w:t>
            </w:r>
            <w:r>
              <w:rPr>
                <w:rFonts w:ascii="Times New Roman;Times;Serif" w:hAnsi="Times New Roman;Times;Serif"/>
                <w:sz w:val="20"/>
              </w:rPr>
              <w:t xml:space="preserve"> — To consider and vote upon a proposal to approve, on an advisory (non-binding) basis, the compensation of our named executive officers (the “say-on-pay vote”):</w:t>
            </w:r>
          </w:p>
        </w:tc>
      </w:tr>
    </w:tbl>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28" w:type="dxa"/>
          <w:right w:w="0" w:type="dxa"/>
        </w:tblCellMar>
      </w:tblPr>
      <w:tblGrid>
        <w:gridCol w:w="860"/>
        <w:gridCol w:w="60"/>
        <w:gridCol w:w="1160"/>
        <w:gridCol w:w="60"/>
        <w:gridCol w:w="1355"/>
        <w:gridCol w:w="60"/>
        <w:gridCol w:w="9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3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Abstained</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Broker</w:t>
              <w:br/>
              <w:t>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8,208,462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1,323,885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577,920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Proposal 4</w:t>
            </w:r>
            <w:r>
              <w:rPr>
                <w:rFonts w:ascii="Times New Roman;Times;Serif" w:hAnsi="Times New Roman;Times;Serif"/>
                <w:sz w:val="20"/>
              </w:rPr>
              <w:t xml:space="preserve"> — To consider and vote upon a proposal to approve, on an advisory (non-binding) basis, the frequency of future say-on-pay votes:</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860"/>
        <w:gridCol w:w="60"/>
        <w:gridCol w:w="800"/>
        <w:gridCol w:w="60"/>
        <w:gridCol w:w="800"/>
        <w:gridCol w:w="60"/>
        <w:gridCol w:w="845"/>
        <w:gridCol w:w="60"/>
        <w:gridCol w:w="9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For</w:t>
              <w:br/>
              <w:t>1 Year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For</w:t>
              <w:br/>
              <w:t>2 Years</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 For</w:t>
              <w:br/>
              <w:t>3 Years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Votes</w:t>
              <w:br/>
              <w:t>Abstained</w:t>
            </w:r>
          </w:p>
        </w:tc>
        <w:tc>
          <w:tcPr>
            <w:tcW w:w="60" w:type="dxa"/>
            <w:tcBorders/>
            <w:tcMar>
              <w:bottom w:w="0" w:type="dxa"/>
            </w:tcMar>
            <w:vAlign w:val="center"/>
          </w:tcPr>
          <w:p>
            <w:pPr>
              <w:pStyle w:val="TableContents"/>
              <w:bidi w:val="0"/>
              <w:spacing w:before="0" w:after="283"/>
              <w:jc w:val="center"/>
              <w:rPr/>
            </w:pPr>
            <w:r>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Broker</w:t>
              <w:br/>
              <w:t>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9,200,507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332,030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577,920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results, and consistent with the recommendation of the Board as set forth in the Proxy Statement</w:t>
      </w:r>
      <w:r>
        <w:rPr>
          <w:rFonts w:ascii="Times New Roman;Times;Serif" w:hAnsi="Times New Roman;Times;Serif"/>
          <w:b w:val="false"/>
          <w:i w:val="false"/>
          <w:caps w:val="false"/>
          <w:smallCaps w:val="false"/>
          <w:sz w:val="20"/>
          <w:shd w:fill="FFFFFF" w:val="clear"/>
        </w:rPr>
        <w:t xml:space="preserve">, future say-on-pay votes will occur on an annual basis </w:t>
      </w:r>
      <w:r>
        <w:rPr>
          <w:rFonts w:ascii="Times New Roman;Times;Serif" w:hAnsi="Times New Roman;Times;Serif"/>
          <w:b w:val="false"/>
          <w:i w:val="false"/>
          <w:caps w:val="false"/>
          <w:smallCaps w:val="false"/>
          <w:sz w:val="20"/>
        </w:rPr>
        <w:t>until the next advisory vote on the frequency of say-on-pay votes, which will occur no later than the 2032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1, 2026</w:t>
      </w:r>
    </w:p>
    <w:p>
      <w:pPr>
        <w:pStyle w:val="TextBody"/>
        <w:bidi w:val="0"/>
        <w:spacing w:before="0" w:after="0"/>
        <w:ind w:left="0" w:right="0" w:hanging="0"/>
        <w:jc w:val="left"/>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414"/>
        <w:gridCol w:w="2455"/>
      </w:tblGrid>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XBP GLOBAL HOLDINGS, INC.</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Dejan Avramovic</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Dejan Avramovic</w:t>
            </w:r>
          </w:p>
        </w:tc>
      </w:tr>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2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4218</Characters>
  <CharactersWithSpaces>5002</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