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2641-2_4seq1.xml.htm"/>
      <w:bookmarkStart w:id="1" w:name="kstm2612641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Robu Vitalie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XBP GLOBAL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 GRAUWYLER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75061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XBP Global Holdings, Inc.</w:t>
              </w:r>
            </w:hyperlink>
            <w:r>
              <w:rPr/>
              <w:t xml:space="preserve"> [ </w:t>
            </w:r>
            <w:r>
              <w:rPr>
                <w:rFonts w:ascii="Times;serif" w:hAnsi="Times;serif"/>
                <w:color w:val="0000FF"/>
                <w:sz w:val="24"/>
                <w:shd w:fill="FFFFFF" w:val="clear"/>
              </w:rPr>
              <w:t>XBP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6,424</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7.73</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93,228</w:t>
            </w:r>
            <w:r>
              <w:rPr>
                <w:rFonts w:ascii="Times;serif" w:hAnsi="Times;serif"/>
                <w:color w:val="008000"/>
                <w:position w:val="7"/>
                <w:sz w:val="16"/>
                <w:sz w:val="20"/>
                <w:shd w:fill="FFFFFF" w:val="clear"/>
              </w:rPr>
              <w:t>(2)</w:t>
            </w:r>
            <w:r>
              <w:rPr/>
              <w:t xml:space="preserve"> </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9,187</w:t>
            </w:r>
            <w:r>
              <w:rPr>
                <w:rFonts w:ascii="Times;serif" w:hAnsi="Times;serif"/>
                <w:color w:val="008000"/>
                <w:position w:val="7"/>
                <w:sz w:val="16"/>
                <w:sz w:val="20"/>
                <w:shd w:fill="FFFFFF" w:val="clear"/>
              </w:rPr>
              <w:t>(1)</w:t>
            </w:r>
            <w:r>
              <w:rPr/>
              <w:t xml:space="preserve"> </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84,041</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(3)</w:t>
            </w:r>
            <w:r>
              <w:rPr/>
              <w:t xml:space="preserve"> </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96,541</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withheld by the Issuer to satisfy the tax withholding obligations in connection with the vesting of the Reporting Person's previously reported Restricted Stock Unit ("RSU")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December 12, 2025, the Issuer's common stock reverse split 1-for-10, resulting in a decrease of 896,877 shares in the reporting person's ownership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RSUs issued to the Reporting Person under the Issuer's 2024 Stock Incentive Plan, as amended. RSUs vest over three years, with one-third of such RSUs vesting on December 31, 2026; one-third of such RSUs vesting on December 31, 2027; and the final one-third of such RSUs vesting on December 31, 2028. RSUs are payable in stock only.</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Dejan Avramovic, Attorney-in-Fact for Vitalie Robu</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05/04/2026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2338" TargetMode="External"/><Relationship Id="rId5" Type="http://schemas.openxmlformats.org/officeDocument/2006/relationships/hyperlink" Target="http://www.sec.gov/cgi-bin/browse-edgar?action=getcompany&amp;CIK=000183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717</Words>
  <Characters>3853</Characters>
  <CharactersWithSpaces>4498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