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both"/>
        <w:rPr/>
      </w:pPr>
      <w:bookmarkStart w:id="0" w:name="xbp-20260813x8k.htm"/>
      <w:bookmarkStart w:id="1" w:name="ksxbp20260813x8k"/>
      <w:bookmarkEnd w:id="0"/>
      <w:bookmarkEnd w:id="1"/>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32"/>
        </w:rPr>
      </w:pPr>
      <w:bookmarkStart w:id="2" w:name="_18752970_61c8_460f_bc1a_a35e6ccbb4ff"/>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Section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August 13,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XBP Global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2rulCB3tA0KS0TCxmcwzkg_2_4"/>
      <w:bookmarkStart w:id="4" w:name="Tc_OlHbJz54AEuf3iGm9bh7IQ_2_2"/>
      <w:bookmarkStart w:id="5" w:name="Tc_1CDYSKf48ka8nfevYPO4rA_2_0"/>
      <w:bookmarkStart w:id="6" w:name="_c85d9fcd_c04f_410c_96e6_ebf7abc81d99"/>
      <w:bookmarkStart w:id="7" w:name="Tc_2rulCB3tA0KS0TCxmcwzkg_2_4"/>
      <w:bookmarkStart w:id="8" w:name="Tc_OlHbJz54AEuf3iGm9bh7IQ_2_2"/>
      <w:bookmarkStart w:id="9" w:name="Tc_1CDYSKf48ka8nfevYPO4rA_2_0"/>
      <w:bookmarkStart w:id="10" w:name="_c85d9fcd_c04f_410c_96e6_ebf7abc81d99"/>
      <w:bookmarkEnd w:id="7"/>
      <w:bookmarkEnd w:id="8"/>
      <w:bookmarkEnd w:id="9"/>
      <w:bookmarkEnd w:id="10"/>
    </w:p>
    <w:tbl>
      <w:tblPr>
        <w:tblW w:w="10205" w:type="dxa"/>
        <w:jc w:val="left"/>
        <w:tblInd w:w="0" w:type="dxa"/>
        <w:tblLayout w:type="fixed"/>
        <w:tblCellMar>
          <w:top w:w="0" w:type="dxa"/>
          <w:left w:w="0" w:type="dxa"/>
          <w:bottom w:w="0" w:type="dxa"/>
          <w:right w:w="0" w:type="dxa"/>
        </w:tblCellMar>
      </w:tblPr>
      <w:tblGrid>
        <w:gridCol w:w="4355"/>
        <w:gridCol w:w="346"/>
        <w:gridCol w:w="2114"/>
        <w:gridCol w:w="346"/>
        <w:gridCol w:w="3044"/>
      </w:tblGrid>
      <w:tr>
        <w:trPr/>
        <w:tc>
          <w:tcPr>
            <w:tcW w:w="4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65425" cy="175260"/>
                      <wp:effectExtent l="0" t="0" r="0" b="0"/>
                      <wp:wrapNone/>
                      <wp:docPr id="1" name="Frame1"/>
                      <a:graphic xmlns:a="http://schemas.openxmlformats.org/drawingml/2006/main">
                        <a:graphicData uri="http://schemas.microsoft.com/office/word/2010/wordprocessingShape">
                          <wps:wsp>
                            <wps:cNvSpPr txBox="1"/>
                            <wps:spPr>
                              <a:xfrm>
                                <a:off x="0" y="0"/>
                                <a:ext cx="276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42390" cy="175260"/>
                      <wp:effectExtent l="0" t="0" r="0" b="0"/>
                      <wp:wrapNone/>
                      <wp:docPr id="2" name="Frame2"/>
                      <a:graphic xmlns:a="http://schemas.openxmlformats.org/drawingml/2006/main">
                        <a:graphicData uri="http://schemas.microsoft.com/office/word/2010/wordprocessingShape">
                          <wps:wsp>
                            <wps:cNvSpPr txBox="1"/>
                            <wps:spPr>
                              <a:xfrm>
                                <a:off x="0" y="0"/>
                                <a:ext cx="1342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932940" cy="175260"/>
                      <wp:effectExtent l="0" t="0" r="0" b="0"/>
                      <wp:wrapNone/>
                      <wp:docPr id="3" name="Frame3"/>
                      <a:graphic xmlns:a="http://schemas.openxmlformats.org/drawingml/2006/main">
                        <a:graphicData uri="http://schemas.microsoft.com/office/word/2010/wordprocessingShape">
                          <wps:wsp>
                            <wps:cNvSpPr txBox="1"/>
                            <wps:spPr>
                              <a:xfrm>
                                <a:off x="0" y="0"/>
                                <a:ext cx="193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211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001-40206</w:t>
            </w:r>
          </w:p>
        </w:tc>
        <w:tc>
          <w:tcPr>
            <w:tcW w:w="346" w:type="dxa"/>
            <w:tcBorders/>
            <w:vAlign w:val="center"/>
          </w:tcPr>
          <w:p>
            <w:pPr>
              <w:pStyle w:val="TableContents"/>
              <w:bidi w:val="0"/>
              <w:spacing w:before="0" w:after="0"/>
              <w:ind w:left="0" w:right="0" w:hanging="0"/>
              <w:jc w:val="left"/>
              <w:rPr/>
            </w:pPr>
            <w:r>
              <w:rPr/>
              <w:t>  ​ ​ ​</w:t>
            </w:r>
          </w:p>
        </w:tc>
        <w:tc>
          <w:tcPr>
            <w:tcW w:w="304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85-2002883</w:t>
            </w:r>
          </w:p>
        </w:tc>
      </w:tr>
      <w:tr>
        <w:trPr/>
        <w:tc>
          <w:tcPr>
            <w:tcW w:w="43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1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left"/>
              <w:rPr/>
            </w:pPr>
            <w:r>
              <w:rPr/>
              <w:t>​</w:t>
            </w:r>
          </w:p>
        </w:tc>
        <w:tc>
          <w:tcPr>
            <w:tcW w:w="30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O4508ktUnkuIyAGrKDla_Q_2_2"/>
      <w:bookmarkStart w:id="12" w:name="Tc_MbshS5ocbEGUQQKL1cpPkg_2_0"/>
      <w:bookmarkStart w:id="13" w:name="Tc_4KijsVORn060sHJm0Xb0Wg_1_0"/>
      <w:bookmarkStart w:id="14" w:name="_e025f2a0_310b_400f_a0b5_a54a126472dd"/>
      <w:bookmarkStart w:id="15" w:name="Tc_O4508ktUnkuIyAGrKDla_Q_2_2"/>
      <w:bookmarkStart w:id="16" w:name="Tc_MbshS5ocbEGUQQKL1cpPkg_2_0"/>
      <w:bookmarkStart w:id="17" w:name="Tc_4KijsVORn060sHJm0Xb0Wg_1_0"/>
      <w:bookmarkStart w:id="18" w:name="_e025f2a0_310b_400f_a0b5_a54a126472dd"/>
      <w:bookmarkEnd w:id="15"/>
      <w:bookmarkEnd w:id="16"/>
      <w:bookmarkEnd w:id="17"/>
      <w:bookmarkEnd w:id="18"/>
    </w:p>
    <w:tbl>
      <w:tblPr>
        <w:tblW w:w="4683" w:type="dxa"/>
        <w:jc w:val="left"/>
        <w:tblInd w:w="0" w:type="dxa"/>
        <w:tblLayout w:type="fixed"/>
        <w:tblCellMar>
          <w:top w:w="0" w:type="dxa"/>
          <w:left w:w="0" w:type="dxa"/>
          <w:bottom w:w="0" w:type="dxa"/>
          <w:right w:w="0" w:type="dxa"/>
        </w:tblCellMar>
      </w:tblPr>
      <w:tblGrid>
        <w:gridCol w:w="3301"/>
        <w:gridCol w:w="34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96135" cy="175260"/>
                      <wp:effectExtent l="0" t="0" r="0" b="0"/>
                      <wp:wrapNone/>
                      <wp:docPr id="4" name="Frame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5" name="Frame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100" w:right="0" w:hanging="0"/>
              <w:jc w:val="center"/>
              <w:rPr>
                <w:rFonts w:ascii="Times New Roman;Times;serif" w:hAnsi="Times New Roman;Times;serif"/>
                <w:b/>
                <w:sz w:val="20"/>
              </w:rPr>
            </w:pPr>
            <w:r>
              <w:rPr>
                <w:rFonts w:ascii="Times New Roman;Times;serif" w:hAnsi="Times New Roman;Times;serif"/>
                <w:b/>
                <w:sz w:val="20"/>
              </w:rPr>
              <w:t>6641 N. Belt Line Road, Suite 100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Irving, Texas</w:t>
            </w:r>
          </w:p>
        </w:tc>
        <w:tc>
          <w:tcPr>
            <w:tcW w:w="346"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75063</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(844) 935-2832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uDv2O3aPTk2zJ2UvU5cLNQ_4_1"/>
      <w:bookmarkStart w:id="20" w:name="Tc_LjCYoJRcUE-_EvrrRWpR9g_3_1"/>
      <w:bookmarkStart w:id="21" w:name="Tc_KE5wj5eHD0eZEfAeX6WLfA_2_1"/>
      <w:bookmarkStart w:id="22" w:name="Tc_6kHEa84CnU68u_oNbdL5rQ_1_1"/>
      <w:bookmarkStart w:id="23" w:name="_ab9f6c73_0fbe_4849_9675_db7dd5eb4552"/>
      <w:bookmarkStart w:id="24" w:name="Tc_uDv2O3aPTk2zJ2UvU5cLNQ_4_1"/>
      <w:bookmarkStart w:id="25" w:name="Tc_LjCYoJRcUE-_EvrrRWpR9g_3_1"/>
      <w:bookmarkStart w:id="26" w:name="Tc_KE5wj5eHD0eZEfAeX6WLfA_2_1"/>
      <w:bookmarkStart w:id="27" w:name="Tc_6kHEa84CnU68u_oNbdL5rQ_1_1"/>
      <w:bookmarkStart w:id="28" w:name="_ab9f6c73_0fbe_4849_9675_db7dd5eb4552"/>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0185" cy="175260"/>
                      <wp:effectExtent l="0" t="0" r="0" b="0"/>
                      <wp:wrapNone/>
                      <wp:docPr id="6" name="Frame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829935" cy="175260"/>
                      <wp:effectExtent l="0" t="0" r="0" b="0"/>
                      <wp:wrapNone/>
                      <wp:docPr id="7" name="Frame7"/>
                      <a:graphic xmlns:a="http://schemas.openxmlformats.org/drawingml/2006/main">
                        <a:graphicData uri="http://schemas.microsoft.com/office/word/2010/wordprocessingShape">
                          <wps:wsp>
                            <wps:cNvSpPr txBox="1"/>
                            <wps:spPr>
                              <a:xfrm>
                                <a:off x="0" y="0"/>
                                <a:ext cx="582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cgUASq_9zUOR9eD-MjeX_g_3_4"/>
      <w:bookmarkStart w:id="30" w:name="Tc_h0sEan-h8U2KX-Ihugf9XQ_2_4"/>
      <w:bookmarkStart w:id="31" w:name="Tc_9OELNr-HG0SmVkol-RXwPg_1_4"/>
      <w:bookmarkStart w:id="32" w:name="Tc_rYFTdVc7rE6YwKHDWaoAtA_1_2"/>
      <w:bookmarkStart w:id="33" w:name="Tc_H4ngQma1u0mgjuTDzmPd4Q_1_0"/>
      <w:bookmarkStart w:id="34" w:name="_c9a4f9fa_b600_428c_a546_7f36040d9dd5"/>
      <w:bookmarkStart w:id="35" w:name="Tc_cgUASq_9zUOR9eD-MjeX_g_3_4"/>
      <w:bookmarkStart w:id="36" w:name="Tc_h0sEan-h8U2KX-Ihugf9XQ_2_4"/>
      <w:bookmarkStart w:id="37" w:name="Tc_9OELNr-HG0SmVkol-RXwPg_1_4"/>
      <w:bookmarkStart w:id="38" w:name="Tc_rYFTdVc7rE6YwKHDWaoAtA_1_2"/>
      <w:bookmarkStart w:id="39" w:name="Tc_H4ngQma1u0mgjuTDzmPd4Q_1_0"/>
      <w:bookmarkStart w:id="40" w:name="_c9a4f9fa_b600_428c_a546_7f36040d9dd5"/>
      <w:bookmarkEnd w:id="35"/>
      <w:bookmarkEnd w:id="36"/>
      <w:bookmarkEnd w:id="37"/>
      <w:bookmarkEnd w:id="38"/>
      <w:bookmarkEnd w:id="39"/>
      <w:bookmarkEnd w:id="40"/>
    </w:p>
    <w:tbl>
      <w:tblPr>
        <w:tblW w:w="10205" w:type="dxa"/>
        <w:jc w:val="left"/>
        <w:tblInd w:w="0" w:type="dxa"/>
        <w:tblLayout w:type="fixed"/>
        <w:tblCellMar>
          <w:top w:w="0" w:type="dxa"/>
          <w:left w:w="0" w:type="dxa"/>
          <w:bottom w:w="0" w:type="dxa"/>
          <w:right w:w="0" w:type="dxa"/>
        </w:tblCellMar>
      </w:tblPr>
      <w:tblGrid>
        <w:gridCol w:w="6671"/>
        <w:gridCol w:w="346"/>
        <w:gridCol w:w="902"/>
        <w:gridCol w:w="346"/>
        <w:gridCol w:w="1940"/>
      </w:tblGrid>
      <w:tr>
        <w:trPr/>
        <w:tc>
          <w:tcPr>
            <w:tcW w:w="6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236085" cy="175260"/>
                      <wp:effectExtent l="0" t="0" r="0" b="0"/>
                      <wp:wrapNone/>
                      <wp:docPr id="8" name="Frame8"/>
                      <a:graphic xmlns:a="http://schemas.openxmlformats.org/drawingml/2006/main">
                        <a:graphicData uri="http://schemas.microsoft.com/office/word/2010/wordprocessingShape">
                          <wps:wsp>
                            <wps:cNvSpPr txBox="1"/>
                            <wps:spPr>
                              <a:xfrm>
                                <a:off x="0" y="0"/>
                                <a:ext cx="423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72770" cy="175260"/>
                      <wp:effectExtent l="0" t="0" r="0" b="0"/>
                      <wp:wrapNone/>
                      <wp:docPr id="9" name="Frame9"/>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31900" cy="175260"/>
                      <wp:effectExtent l="0" t="0" r="0" b="0"/>
                      <wp:wrapNone/>
                      <wp:docPr id="10" name="Frame10"/>
                      <a:graphic xmlns:a="http://schemas.openxmlformats.org/drawingml/2006/main">
                        <a:graphicData uri="http://schemas.microsoft.com/office/word/2010/wordprocessingShape">
                          <wps:wsp>
                            <wps:cNvSpPr txBox="1"/>
                            <wps:spPr>
                              <a:xfrm>
                                <a:off x="0" y="0"/>
                                <a:ext cx="1231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vAlign w:val="center"/>
          </w:tcPr>
          <w:p>
            <w:pPr>
              <w:pStyle w:val="TableContents"/>
              <w:bidi w:val="0"/>
              <w:spacing w:before="0" w:after="0"/>
              <w:ind w:left="0" w:right="0" w:hanging="0"/>
              <w:jc w:val="left"/>
              <w:rPr/>
            </w:pPr>
            <w:r>
              <w:rPr/>
              <w:t>  ​ ​ ​</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Name of each exchange</w:t>
            </w:r>
            <w:r>
              <w:rPr>
                <w:rFonts w:ascii="Times New Roman;Times;serif" w:hAnsi="Times New Roman;Times;serif"/>
                <w:sz w:val="20"/>
              </w:rPr>
              <w:t xml:space="preserve"> </w:t>
              <w:br/>
            </w:r>
            <w:r>
              <w:rPr>
                <w:rFonts w:ascii="Times New Roman;Times;serif" w:hAnsi="Times New Roman;Times;serif"/>
                <w:b/>
                <w:sz w:val="20"/>
              </w:rPr>
              <w:t>on which registered</w:t>
            </w:r>
          </w:p>
        </w:tc>
      </w:tr>
      <w:tr>
        <w:trPr/>
        <w:tc>
          <w:tcPr>
            <w:tcW w:w="66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vAlign w:val="center"/>
          </w:tcPr>
          <w:p>
            <w:pPr>
              <w:pStyle w:val="TableContents"/>
              <w:bidi w:val="0"/>
              <w:spacing w:before="0" w:after="0"/>
              <w:ind w:left="0" w:right="0" w:hanging="0"/>
              <w:jc w:val="left"/>
              <w:rPr/>
            </w:pPr>
            <w:r>
              <w:rPr/>
              <w:t>​</w:t>
            </w:r>
          </w:p>
        </w:tc>
        <w:tc>
          <w:tcPr>
            <w:tcW w:w="902"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XBP</w:t>
            </w:r>
          </w:p>
        </w:tc>
        <w:tc>
          <w:tcPr>
            <w:tcW w:w="346" w:type="dxa"/>
            <w:tcBorders/>
            <w:vAlign w:val="center"/>
          </w:tcPr>
          <w:p>
            <w:pPr>
              <w:pStyle w:val="TableContents"/>
              <w:bidi w:val="0"/>
              <w:spacing w:before="0" w:after="0"/>
              <w:ind w:left="0" w:right="0" w:hanging="0"/>
              <w:jc w:val="left"/>
              <w:rPr/>
            </w:pPr>
            <w:r>
              <w:rPr/>
              <w:t>​</w:t>
            </w:r>
          </w:p>
        </w:tc>
        <w:tc>
          <w:tcPr>
            <w:tcW w:w="1940"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Capital Market</w:t>
            </w:r>
          </w:p>
        </w:tc>
      </w:tr>
      <w:tr>
        <w:trPr/>
        <w:tc>
          <w:tcPr>
            <w:tcW w:w="6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warrants, each ten warrants exercisable for one share of common stock at an exercise price of $115.00</w:t>
            </w:r>
          </w:p>
        </w:tc>
        <w:tc>
          <w:tcPr>
            <w:tcW w:w="346" w:type="dxa"/>
            <w:tcBorders/>
            <w:vAlign w:val="center"/>
          </w:tcPr>
          <w:p>
            <w:pPr>
              <w:pStyle w:val="TableContents"/>
              <w:bidi w:val="0"/>
              <w:spacing w:before="0" w:after="0"/>
              <w:ind w:left="0" w:right="0" w:hanging="0"/>
              <w:jc w:val="left"/>
              <w:rPr/>
            </w:pPr>
            <w:r>
              <w:rPr/>
              <w:t>​</w:t>
            </w:r>
          </w:p>
        </w:tc>
        <w:tc>
          <w:tcPr>
            <w:tcW w:w="90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XBPEW</w:t>
            </w:r>
          </w:p>
        </w:tc>
        <w:tc>
          <w:tcPr>
            <w:tcW w:w="346" w:type="dxa"/>
            <w:tcBorders/>
            <w:vAlign w:val="center"/>
          </w:tcPr>
          <w:p>
            <w:pPr>
              <w:pStyle w:val="TableContents"/>
              <w:bidi w:val="0"/>
              <w:spacing w:before="0" w:after="0"/>
              <w:ind w:left="0" w:right="0" w:hanging="0"/>
              <w:jc w:val="left"/>
              <w:rPr/>
            </w:pPr>
            <w:r>
              <w:rPr/>
              <w:t>​</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Capital Market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(§240.12b-2of this chapter).</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1" w:name="_ededa731_bb44_4fe4_85d5_da107dd57832"/>
      <w:bookmarkEnd w:id="41"/>
      <w:r>
        <w:rPr>
          <w:rFonts w:ascii="Times New Roman;Times;serif" w:hAnsi="Times New Roman;Times;serif"/>
          <w:b/>
          <w:sz w:val="20"/>
        </w:rPr>
        <w:t>Item 2.02 Results of Operations and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13, 2026, XBP Global Holdings, Inc. (the “Company”) issued a press release reporting financial results for the quarter ended June 30, 2026. The full text of the press release is furnished as Exhibit 99.1 to this Current Report on Form 8-K.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contained in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pStyle w:val="TextBody"/>
        <w:bidi w:val="0"/>
        <w:spacing w:before="0" w:after="240"/>
        <w:ind w:left="0" w:right="0" w:hanging="0"/>
        <w:jc w:val="left"/>
        <w:rPr>
          <w:rFonts w:ascii="Times New Roman;Times;serif" w:hAnsi="Times New Roman;Times;serif"/>
          <w:b/>
          <w:sz w:val="20"/>
        </w:rPr>
      </w:pPr>
      <w:bookmarkStart w:id="42" w:name="_fe111f5d_0b2b_40d4_95b3_31d4d0f12e04"/>
      <w:bookmarkEnd w:id="42"/>
      <w:r>
        <w:rPr>
          <w:rFonts w:ascii="Times New Roman;Times;serif" w:hAnsi="Times New Roman;Times;serif"/>
          <w:b/>
          <w:sz w:val="20"/>
        </w:rPr>
        <w:t>Item 9.01. Financial Statements and 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8028" w:type="dxa"/>
        <w:jc w:val="left"/>
        <w:tblInd w:w="0" w:type="dxa"/>
        <w:tblLayout w:type="fixed"/>
        <w:tblCellMar>
          <w:top w:w="0" w:type="dxa"/>
          <w:left w:w="0" w:type="dxa"/>
          <w:bottom w:w="28" w:type="dxa"/>
          <w:right w:w="0" w:type="dxa"/>
        </w:tblCellMar>
      </w:tblPr>
      <w:tblGrid>
        <w:gridCol w:w="1081"/>
        <w:gridCol w:w="346"/>
        <w:gridCol w:w="6601"/>
      </w:tblGrid>
      <w:tr>
        <w:trPr/>
        <w:tc>
          <w:tcPr>
            <w:tcW w:w="108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66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60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xbp-20260813xex99d1.htm">
              <w:r>
                <w:rPr>
                  <w:rStyle w:val="InternetLink"/>
                  <w:rFonts w:ascii="Times New Roman;Times;serif" w:hAnsi="Times New Roman;Times;serif"/>
                  <w:b w:val="false"/>
                  <w:i w:val="false"/>
                  <w:caps w:val="false"/>
                  <w:smallCaps w:val="false"/>
                  <w:sz w:val="20"/>
                </w:rPr>
                <w:t>Press Release dated August 13, 2026, announcing Second Quarter 2026 results</w:t>
              </w:r>
            </w:hyperlink>
          </w:p>
        </w:tc>
      </w:tr>
      <w:tr>
        <w:trPr/>
        <w:tc>
          <w:tcPr>
            <w:tcW w:w="10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66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3" w:name="_07f51cc9_551a_4b53_8b8b_24364f6cbd5e"/>
      <w:bookmarkEnd w:id="43"/>
      <w:r>
        <w:rPr>
          <w:rFonts w:ascii="Times New Roman;Times;serif" w:hAnsi="Times New Roman;Times;serif"/>
          <w:b/>
          <w:sz w:val="20"/>
        </w:rPr>
        <w:t>SIGNATURE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August 13, 2026</w:t>
      </w:r>
    </w:p>
    <w:tbl>
      <w:tblPr>
        <w:tblW w:w="3109" w:type="dxa"/>
        <w:jc w:val="left"/>
        <w:tblInd w:w="0" w:type="dxa"/>
        <w:tblLayout w:type="fixed"/>
        <w:tblCellMar>
          <w:top w:w="0" w:type="dxa"/>
          <w:left w:w="0" w:type="dxa"/>
          <w:bottom w:w="0" w:type="dxa"/>
          <w:right w:w="0" w:type="dxa"/>
        </w:tblCellMar>
      </w:tblPr>
      <w:tblGrid>
        <w:gridCol w:w="124"/>
        <w:gridCol w:w="501"/>
        <w:gridCol w:w="248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8740" cy="175260"/>
                      <wp:effectExtent l="0" t="0" r="0" b="0"/>
                      <wp:wrapNone/>
                      <wp:docPr id="11" name="Frame1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18135" cy="175260"/>
                      <wp:effectExtent l="0" t="0" r="0" b="0"/>
                      <wp:wrapNone/>
                      <wp:docPr id="12" name="Frame12"/>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577340" cy="175260"/>
                      <wp:effectExtent l="0" t="0" r="0" b="0"/>
                      <wp:wrapNone/>
                      <wp:docPr id="13" name="Frame13"/>
                      <a:graphic xmlns:a="http://schemas.openxmlformats.org/drawingml/2006/main">
                        <a:graphicData uri="http://schemas.microsoft.com/office/word/2010/wordprocessingShape">
                          <wps:wsp>
                            <wps:cNvSpPr txBox="1"/>
                            <wps:spPr>
                              <a:xfrm>
                                <a:off x="0" y="0"/>
                                <a:ext cx="157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9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XBP GLOBAL HOLDINGS, INC.</w:t>
            </w:r>
          </w:p>
        </w:tc>
      </w:tr>
      <w:tr>
        <w:trPr/>
        <w:tc>
          <w:tcPr>
            <w:tcW w:w="124"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Dejan Avramovic</w:t>
            </w:r>
          </w:p>
        </w:tc>
      </w:tr>
      <w:tr>
        <w:trPr/>
        <w:tc>
          <w:tcPr>
            <w:tcW w:w="124"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24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Dejan Avramovic</w:t>
            </w:r>
          </w:p>
        </w:tc>
      </w:tr>
      <w:tr>
        <w:trPr/>
        <w:tc>
          <w:tcPr>
            <w:tcW w:w="124"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2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Helvetica;sans-serif" w:hAnsi="Helvetica;sans-serif"/>
          <w:b/>
          <w:sz w:val="18"/>
        </w:rPr>
      </w:pPr>
      <w:bookmarkStart w:id="44" w:name="xbp-20260813xex99d1.htm"/>
      <w:bookmarkStart w:id="45" w:name="ksxbp20260813xex99d1"/>
      <w:bookmarkEnd w:id="44"/>
      <w:bookmarkEnd w:id="45"/>
      <w:r>
        <w:rPr>
          <w:rFonts w:ascii="Helvetica;sans-serif" w:hAnsi="Helvetica;sans-serif"/>
          <w:b/>
          <w:sz w:val="18"/>
        </w:rPr>
        <w:t>Exhibit 99.1</w:t>
      </w:r>
      <w:r>
        <w:br w:type="page"/>
      </w:r>
    </w:p>
    <w:p>
      <w:pPr>
        <w:pStyle w:val="TextBody"/>
        <w:bidi w:val="0"/>
        <w:spacing w:before="0" w:after="120"/>
        <w:ind w:left="0" w:right="0" w:hanging="0"/>
        <w:jc w:val="left"/>
        <w:rPr/>
      </w:pPr>
      <w:r>
        <w:rPr/>
        <w:t>​</w:t>
      </w:r>
    </w:p>
    <w:p>
      <w:pPr>
        <w:pStyle w:val="TextBody"/>
        <w:bidi w:val="0"/>
        <w:spacing w:before="0" w:after="0"/>
        <w:ind w:left="0" w:right="0" w:hanging="0"/>
        <w:jc w:val="left"/>
        <w:rPr/>
      </w:pPr>
      <w:r>
        <w:rPr/>
        <w:drawing>
          <wp:inline distT="0" distB="0" distL="0" distR="0">
            <wp:extent cx="2475865" cy="31242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2475865" cy="312420"/>
                    </a:xfrm>
                    <a:prstGeom prst="rect">
                      <a:avLst/>
                    </a:prstGeom>
                  </pic:spPr>
                </pic:pic>
              </a:graphicData>
            </a:graphic>
          </wp:inline>
        </w:drawing>
      </w:r>
    </w:p>
    <w:p>
      <w:pPr>
        <w:pStyle w:val="TextBody"/>
        <w:bidi w:val="0"/>
        <w:spacing w:before="0" w:after="120"/>
        <w:ind w:left="0" w:right="0" w:hanging="0"/>
        <w:jc w:val="left"/>
        <w:rPr/>
      </w:pPr>
      <w:r>
        <w:rPr/>
        <w:t>​</w:t>
      </w:r>
    </w:p>
    <w:p>
      <w:pPr>
        <w:pStyle w:val="TextBody"/>
        <w:bidi w:val="0"/>
        <w:spacing w:before="0" w:after="120"/>
        <w:ind w:left="0" w:right="0" w:hanging="0"/>
        <w:jc w:val="left"/>
        <w:rPr>
          <w:rFonts w:ascii="Helvetica;sans-serif" w:hAnsi="Helvetica;sans-serif"/>
          <w:b/>
          <w:sz w:val="22"/>
        </w:rPr>
      </w:pPr>
      <w:r>
        <w:rPr>
          <w:rFonts w:ascii="Helvetica;sans-serif" w:hAnsi="Helvetica;sans-serif"/>
          <w:b/>
          <w:sz w:val="22"/>
        </w:rPr>
        <w:t>XBP Global Holdings, Inc. Reports Second Quarter 2026 Financial Results</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August 13, 2026</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IRVING, TX, August 13, 2026 (GLOBE NEWSWIRE) – XBP Global Holdings, Inc. (“XBP Global” or “the Company”) (NASDAQ: XBP), a multinational technology and services company orchestrating mission-critical systems that enable hyper-automation and digital transformation, today announced its financial results for the quarter ended June 30, 2026.</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Second Quarter 2026 Highlights</w:t>
      </w:r>
    </w:p>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Revenue totaled $191.3 million, a decline of 14.0% year-over-year on a pro forma basis</w:t>
            </w:r>
            <w:r>
              <w:rPr>
                <w:rFonts w:ascii="Helvetica;sans-serif" w:hAnsi="Helvetica;sans-serif"/>
                <w:b w:val="false"/>
                <w:i w:val="false"/>
                <w:caps w:val="false"/>
                <w:smallCaps w:val="false"/>
                <w:sz w:val="14"/>
              </w:rPr>
              <w:t>1</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Gross margin of 21.5%, an 80 basis point increase year-over-year on a pro forma basis</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Record adjusted gross margin</w:t>
            </w:r>
            <w:r>
              <w:rPr>
                <w:rFonts w:ascii="Helvetica;sans-serif" w:hAnsi="Helvetica;sans-serif"/>
                <w:b w:val="false"/>
                <w:i w:val="false"/>
                <w:caps w:val="false"/>
                <w:smallCaps w:val="false"/>
                <w:sz w:val="14"/>
              </w:rPr>
              <w:t>2</w:t>
            </w:r>
            <w:r>
              <w:rPr>
                <w:caps w:val="false"/>
                <w:smallCaps w:val="false"/>
              </w:rPr>
              <w:t xml:space="preserve"> </w:t>
            </w:r>
            <w:r>
              <w:rPr>
                <w:rFonts w:ascii="Helvetica;sans-serif" w:hAnsi="Helvetica;sans-serif"/>
                <w:b w:val="false"/>
                <w:i w:val="false"/>
                <w:caps w:val="false"/>
                <w:smallCaps w:val="false"/>
                <w:sz w:val="18"/>
              </w:rPr>
              <w:t>of 24.9%, a 290 basis point increase year-over-year on a pro forma basis</w:t>
            </w:r>
            <w:r>
              <w:rPr>
                <w:rFonts w:ascii="Helvetica;sans-serif" w:hAnsi="Helvetica;sans-serif"/>
                <w:b w:val="false"/>
                <w:i w:val="false"/>
                <w:caps w:val="false"/>
                <w:smallCaps w:val="false"/>
                <w:sz w:val="14"/>
              </w:rPr>
              <w:t>1</w:t>
            </w:r>
          </w:p>
        </w:tc>
      </w:tr>
    </w:tbl>
    <w:tbl>
      <w:tblPr>
        <w:tblW w:w="2080" w:type="dxa"/>
        <w:jc w:val="left"/>
        <w:tblInd w:w="0" w:type="dxa"/>
        <w:tblLayout w:type="fixed"/>
        <w:tblCellMar>
          <w:top w:w="0" w:type="dxa"/>
          <w:left w:w="0" w:type="dxa"/>
          <w:bottom w:w="0" w:type="dxa"/>
          <w:right w:w="0" w:type="dxa"/>
        </w:tblCellMar>
      </w:tblPr>
      <w:tblGrid>
        <w:gridCol w:w="110"/>
        <w:gridCol w:w="1970"/>
      </w:tblGrid>
      <w:tr>
        <w:trPr/>
        <w:tc>
          <w:tcPr>
            <w:tcW w:w="11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Net loss of $16.7 million</w:t>
            </w:r>
          </w:p>
        </w:tc>
      </w:tr>
    </w:tbl>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Normalized EBITDA</w:t>
            </w:r>
            <w:r>
              <w:rPr>
                <w:rFonts w:ascii="Helvetica;sans-serif" w:hAnsi="Helvetica;sans-serif"/>
                <w:b w:val="false"/>
                <w:i w:val="false"/>
                <w:caps w:val="false"/>
                <w:smallCaps w:val="false"/>
                <w:sz w:val="14"/>
              </w:rPr>
              <w:t>2</w:t>
            </w:r>
            <w:r>
              <w:rPr>
                <w:caps w:val="false"/>
                <w:smallCaps w:val="false"/>
              </w:rPr>
              <w:t xml:space="preserve"> </w:t>
            </w:r>
            <w:r>
              <w:rPr>
                <w:rFonts w:ascii="Helvetica;sans-serif" w:hAnsi="Helvetica;sans-serif"/>
                <w:b w:val="false"/>
                <w:i w:val="false"/>
                <w:caps w:val="false"/>
                <w:smallCaps w:val="false"/>
                <w:sz w:val="18"/>
              </w:rPr>
              <w:t>of $21.9 million, representing an 8.4% increase year-over-year on a pro forma basis</w:t>
            </w:r>
            <w:r>
              <w:rPr>
                <w:rFonts w:ascii="Helvetica;sans-serif" w:hAnsi="Helvetica;sans-serif"/>
                <w:b w:val="false"/>
                <w:i w:val="false"/>
                <w:caps w:val="false"/>
                <w:smallCaps w:val="false"/>
                <w:sz w:val="14"/>
              </w:rPr>
              <w:t>1</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Closed $121.3 million of total TCV, representing a 51.6% increase year-over-year and 41.9% above the trailing four-quarter average</w:t>
            </w:r>
            <w:r>
              <w:rPr>
                <w:rFonts w:ascii="Helvetica;sans-serif" w:hAnsi="Helvetica;sans-serif"/>
                <w:b w:val="false"/>
                <w:i w:val="false"/>
                <w:caps w:val="false"/>
                <w:smallCaps w:val="false"/>
                <w:sz w:val="14"/>
              </w:rPr>
              <w:t>1,3</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18"/>
              </w:rPr>
              <w:t>Closed $36.0 million of new ACV, representing a 57.0% increase year-over-year and 39.3% above the trailing four-quarter average</w:t>
            </w:r>
            <w:r>
              <w:rPr>
                <w:rFonts w:ascii="Helvetica;sans-serif" w:hAnsi="Helvetica;sans-serif"/>
                <w:b w:val="false"/>
                <w:i w:val="false"/>
                <w:caps w:val="false"/>
                <w:smallCaps w:val="false"/>
                <w:sz w:val="14"/>
              </w:rPr>
              <w:t>1,3</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283"/>
              <w:jc w:val="left"/>
              <w:rPr>
                <w:rFonts w:ascii="Helvetica;sans-serif" w:hAnsi="Helvetica;sans-serif"/>
                <w:b w:val="false"/>
                <w:i w:val="false"/>
                <w:caps w:val="false"/>
                <w:smallCaps w:val="false"/>
                <w:sz w:val="18"/>
              </w:rPr>
            </w:pPr>
            <w:r>
              <w:rPr>
                <w:rFonts w:ascii="Helvetica;sans-serif" w:hAnsi="Helvetica;sans-serif"/>
                <w:b w:val="false"/>
                <w:i w:val="false"/>
                <w:caps w:val="false"/>
                <w:smallCaps w:val="false"/>
                <w:sz w:val="18"/>
              </w:rPr>
              <w:t>The Company now expects to achieve $65 to $75 million in annualized operational efficiencies resulting from Company-wide AI led automation efforts, an increase from the previous target of $55 to $60 million, with an expected 2026 in-year benefit of approximately $35 million.</w:t>
            </w:r>
          </w:p>
        </w:tc>
      </w:tr>
    </w:tbl>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"Our second quarter results reflect a clear step-up in profitability, with Normalized EBITDA of $21.9 million and adjusted gross margin of 24.9%, our highest level to date," said Andrej Jonovic, Chief Executive Officer of XBP Global. “The improvement reflects both a favorable revenue mix in the quarter and the impact of our AI-first automation strategy. The latter is particularly important because automation-driven efficiencies compound over time, and the progress we have made allows us to raise our annualized efficiency target to $65 to $75 million, up from our prior target of $55 to $60 million, with approximately $35 million expected to be realized during calendar year 2026."</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"On the commercial side, we closed $121.3 million of total contract value in the quarter, split fairly evenly between new and renewal revenue. New bookings increased year-over-year and sequentially, and our late-stage pipeline continues to strengthen. Demand remains strongest where organizations require secure, on-premise automation solutions with strict data sovereignty and human oversight requirements, particularly in healthcare, though timing on public sector contracts remains volatile. Our priorities for the balance of the year remain unchanged: continue strengthening and converting the pipeline while advancing our AI-driven automation initiatives and structural margin improvement efforts. The Company has engaged a financial advisor in connection with the previously announced strategic alternatives."</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Below are the notes referenced above:</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Helvetica;sans-serif" w:hAnsi="Helvetica;sans-serif"/>
                <w:i/>
                <w:sz w:val="16"/>
              </w:rPr>
            </w:pPr>
            <w:r>
              <w:rPr>
                <w:rFonts w:ascii="Helvetica;sans-serif" w:hAnsi="Helvetica;sans-serif"/>
                <w:i/>
                <w:sz w:val="16"/>
              </w:rPr>
              <w:t>(1)</w:t>
            </w:r>
          </w:p>
        </w:tc>
        <w:tc>
          <w:tcPr>
            <w:tcW w:w="9997" w:type="dxa"/>
            <w:tcBorders/>
            <w:vAlign w:val="center"/>
          </w:tcPr>
          <w:p>
            <w:pPr>
              <w:pStyle w:val="TableContents"/>
              <w:bidi w:val="0"/>
              <w:spacing w:before="0" w:after="283"/>
              <w:jc w:val="left"/>
              <w:rPr/>
            </w:pPr>
            <w:r>
              <w:rPr>
                <w:rFonts w:ascii="Helvetica;sans-serif" w:hAnsi="Helvetica;sans-serif"/>
                <w:b w:val="false"/>
                <w:i/>
                <w:sz w:val="18"/>
              </w:rPr>
              <w:t xml:space="preserve">Pro forma results reflect the combined company as if the July 2025 acquisition of Exela Technologies BPA, LLC (together with its subsidiaries and certain affiliates </w:t>
            </w:r>
            <w:r>
              <w:rPr/>
              <w:t>“</w:t>
            </w:r>
            <w:r>
              <w:rPr>
                <w:rFonts w:ascii="Helvetica;sans-serif" w:hAnsi="Helvetica;sans-serif"/>
                <w:b w:val="false"/>
                <w:i/>
                <w:sz w:val="18"/>
              </w:rPr>
              <w:t>BPA</w:t>
            </w:r>
            <w:r>
              <w:rPr/>
              <w:t>”</w:t>
            </w:r>
            <w:r>
              <w:rPr>
                <w:rFonts w:ascii="Helvetica;sans-serif" w:hAnsi="Helvetica;sans-serif"/>
                <w:b w:val="false"/>
                <w:i/>
                <w:sz w:val="18"/>
              </w:rPr>
              <w:t xml:space="preserve">) had occurred on January 1, 2025, and include adjustments to provide period-to-period comparability where the reported results exclude the results of XBP Europe Holdings, Inc. (as it existed prior to such acquisition, </w:t>
            </w:r>
            <w:r>
              <w:rPr/>
              <w:t>“</w:t>
            </w:r>
            <w:r>
              <w:rPr>
                <w:rFonts w:ascii="Helvetica;sans-serif" w:hAnsi="Helvetica;sans-serif"/>
                <w:b w:val="false"/>
                <w:i/>
                <w:sz w:val="18"/>
              </w:rPr>
              <w:t>XBP Europe</w:t>
            </w:r>
            <w:r>
              <w:rPr/>
              <w:t>”</w:t>
            </w:r>
            <w:r>
              <w:rPr>
                <w:rFonts w:ascii="Helvetica;sans-serif" w:hAnsi="Helvetica;sans-serif"/>
                <w:b w:val="false"/>
                <w:i/>
                <w:sz w:val="18"/>
              </w:rPr>
              <w:t>) until July 31, 2025.</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Helvetica;sans-serif" w:hAnsi="Helvetica;sans-serif"/>
                <w:i/>
                <w:sz w:val="16"/>
              </w:rPr>
            </w:pPr>
            <w:r>
              <w:rPr>
                <w:rFonts w:ascii="Helvetica;sans-serif" w:hAnsi="Helvetica;sans-serif"/>
                <w:i/>
                <w:sz w:val="16"/>
              </w:rPr>
              <w:t>(2)</w:t>
            </w:r>
          </w:p>
        </w:tc>
        <w:tc>
          <w:tcPr>
            <w:tcW w:w="9961" w:type="dxa"/>
            <w:tcBorders/>
            <w:vAlign w:val="center"/>
          </w:tcPr>
          <w:p>
            <w:pPr>
              <w:pStyle w:val="TableContents"/>
              <w:bidi w:val="0"/>
              <w:spacing w:before="0" w:after="283"/>
              <w:jc w:val="left"/>
              <w:rPr>
                <w:rFonts w:ascii="Helvetica;sans-serif" w:hAnsi="Helvetica;sans-serif"/>
                <w:b w:val="false"/>
                <w:i/>
                <w:sz w:val="18"/>
              </w:rPr>
            </w:pPr>
            <w:r>
              <w:rPr>
                <w:rFonts w:ascii="Helvetica;sans-serif" w:hAnsi="Helvetica;sans-serif"/>
                <w:b w:val="false"/>
                <w:i/>
                <w:sz w:val="18"/>
              </w:rPr>
              <w:t>Adjusted Gross Margin and Normalized EBITDA are non-GAAP measures. A reconciliation of non-GAAP measures is attached to this release.</w:t>
            </w:r>
          </w:p>
        </w:tc>
      </w:tr>
    </w:tbl>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Helvetica;sans-serif" w:hAnsi="Helvetica;sans-serif"/>
                <w:i/>
                <w:sz w:val="16"/>
              </w:rPr>
            </w:pPr>
            <w:r>
              <w:rPr>
                <w:rFonts w:ascii="Helvetica;sans-serif" w:hAnsi="Helvetica;sans-serif"/>
                <w:i/>
                <w:sz w:val="16"/>
              </w:rPr>
              <w:t>(3)</w:t>
            </w:r>
          </w:p>
        </w:tc>
        <w:tc>
          <w:tcPr>
            <w:tcW w:w="10001" w:type="dxa"/>
            <w:tcBorders/>
            <w:vAlign w:val="center"/>
          </w:tcPr>
          <w:p>
            <w:pPr>
              <w:pStyle w:val="TableContents"/>
              <w:bidi w:val="0"/>
              <w:spacing w:before="0" w:after="283"/>
              <w:jc w:val="left"/>
              <w:rPr/>
            </w:pPr>
            <w:r>
              <w:rPr>
                <w:rFonts w:ascii="Helvetica;sans-serif" w:hAnsi="Helvetica;sans-serif"/>
                <w:b w:val="false"/>
                <w:i/>
                <w:sz w:val="18"/>
              </w:rPr>
              <w:t>Total Contract Value (</w:t>
            </w:r>
            <w:r>
              <w:rPr/>
              <w:t>“</w:t>
            </w:r>
            <w:r>
              <w:rPr>
                <w:rFonts w:ascii="Helvetica;sans-serif" w:hAnsi="Helvetica;sans-serif"/>
                <w:b w:val="false"/>
                <w:i/>
                <w:sz w:val="18"/>
              </w:rPr>
              <w:t>TCV</w:t>
            </w:r>
            <w:r>
              <w:rPr/>
              <w:t>”</w:t>
            </w:r>
            <w:r>
              <w:rPr>
                <w:rFonts w:ascii="Helvetica;sans-serif" w:hAnsi="Helvetica;sans-serif"/>
                <w:b w:val="false"/>
                <w:i/>
                <w:sz w:val="18"/>
              </w:rPr>
              <w:t>) represents the initial estimated revenue related to contracts signed in the period without regard for early termination or revenue recognition rules. Changes to contracts and scope are treated as TCV only to the extent of the incremental new value. New TCV represents TCV attributable to expansion and new scope for existing clients, as well as TCV attributable to new clients. Annual contract value (</w:t>
            </w:r>
            <w:r>
              <w:rPr/>
              <w:t>“</w:t>
            </w:r>
            <w:r>
              <w:rPr>
                <w:rFonts w:ascii="Helvetica;sans-serif" w:hAnsi="Helvetica;sans-serif"/>
                <w:b w:val="false"/>
                <w:i/>
                <w:sz w:val="18"/>
              </w:rPr>
              <w:t>ACV</w:t>
            </w:r>
            <w:r>
              <w:rPr/>
              <w:t>”</w:t>
            </w:r>
            <w:r>
              <w:rPr>
                <w:rFonts w:ascii="Helvetica;sans-serif" w:hAnsi="Helvetica;sans-serif"/>
                <w:b w:val="false"/>
                <w:i/>
                <w:sz w:val="18"/>
              </w:rPr>
              <w:t>) represents the annualized value of the TCV, calculated by dividing the TCV of each individual contract by its respective duration in years.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Earnings Call and Supplemental Investor Presentation</w:t>
      </w:r>
    </w:p>
    <w:p>
      <w:pPr>
        <w:pStyle w:val="TextBody"/>
        <w:bidi w:val="0"/>
        <w:spacing w:before="0" w:after="120"/>
        <w:ind w:left="0" w:right="0" w:hanging="10"/>
        <w:jc w:val="left"/>
        <w:rPr>
          <w:rFonts w:ascii="Helvetica;sans-serif" w:hAnsi="Helvetica;sans-serif"/>
          <w:sz w:val="18"/>
        </w:rPr>
      </w:pPr>
      <w:r>
        <w:rPr>
          <w:rFonts w:ascii="Helvetica;sans-serif" w:hAnsi="Helvetica;sans-serif"/>
          <w:sz w:val="18"/>
        </w:rPr>
        <w:t>The Company will host a live conference call at 5:00 pm Eastern Time on August 13, 2026, accompanied by a live webcast. Hosting the call will be Andrej Jonovic, Chief Executive Officer and Dejan Avramovic, Chief Financial Officer.</w:t>
      </w:r>
    </w:p>
    <w:p>
      <w:pPr>
        <w:pStyle w:val="TextBody"/>
        <w:bidi w:val="0"/>
        <w:spacing w:before="0" w:after="120"/>
        <w:ind w:left="0" w:right="0" w:hanging="0"/>
        <w:jc w:val="left"/>
        <w:rPr>
          <w:rFonts w:ascii="Helvetica;sans-serif" w:hAnsi="Helvetica;sans-serif"/>
          <w:sz w:val="18"/>
        </w:rPr>
      </w:pPr>
      <w:r>
        <w:rPr>
          <w:rFonts w:ascii="Helvetica;sans-serif" w:hAnsi="Helvetica;sans-serif"/>
          <w:b/>
          <w:sz w:val="18"/>
        </w:rPr>
        <w:t xml:space="preserve">Participant Call-In Registration: </w:t>
      </w:r>
      <w:r>
        <w:rPr>
          <w:rFonts w:ascii="Helvetica;sans-serif" w:hAnsi="Helvetica;sans-serif"/>
          <w:sz w:val="18"/>
        </w:rPr>
        <w:t>Participants who wish to join the conference by telephone must register using the following dial-in registration link to receive the dial-in number and a personalized PIN code that will be required to access the call: https://register-conf.media-server.com/register/BI96e42402195a4ebaa3e543bd987a20f0.</w:t>
      </w:r>
    </w:p>
    <w:p>
      <w:pPr>
        <w:pStyle w:val="TextBody"/>
        <w:bidi w:val="0"/>
        <w:spacing w:before="0" w:after="120"/>
        <w:ind w:left="0" w:right="0" w:hanging="0"/>
        <w:jc w:val="left"/>
        <w:rPr>
          <w:rFonts w:ascii="Helvetica;sans-serif" w:hAnsi="Helvetica;sans-serif"/>
          <w:sz w:val="18"/>
        </w:rPr>
      </w:pPr>
      <w:r>
        <w:rPr>
          <w:rFonts w:ascii="Helvetica;sans-serif" w:hAnsi="Helvetica;sans-serif"/>
          <w:b/>
          <w:sz w:val="18"/>
        </w:rPr>
        <w:t xml:space="preserve">Participant Live Webcast Registration: </w:t>
      </w:r>
      <w:r>
        <w:rPr>
          <w:rFonts w:ascii="Helvetica;sans-serif" w:hAnsi="Helvetica;sans-serif"/>
          <w:sz w:val="18"/>
        </w:rPr>
        <w:t>To access the live webcast, please visit https://edge.media-server.com/mmc/p/qzjqc7fx or XBP Global’s Investor Relations website at https://investors.xbpglobal.com/.</w:t>
      </w:r>
    </w:p>
    <w:p>
      <w:pPr>
        <w:pStyle w:val="TextBody"/>
        <w:bidi w:val="0"/>
        <w:spacing w:before="0" w:after="120"/>
        <w:ind w:left="0" w:right="0" w:hanging="0"/>
        <w:jc w:val="left"/>
        <w:rPr>
          <w:rFonts w:ascii="Helvetica;sans-serif" w:hAnsi="Helvetica;sans-serif"/>
          <w:sz w:val="18"/>
        </w:rPr>
      </w:pPr>
      <w:r>
        <w:rPr>
          <w:rFonts w:ascii="Helvetica;sans-serif" w:hAnsi="Helvetica;sans-serif"/>
          <w:b/>
          <w:sz w:val="18"/>
        </w:rPr>
        <w:t xml:space="preserve">Rebroadcast: </w:t>
      </w:r>
      <w:r>
        <w:rPr>
          <w:rFonts w:ascii="Helvetica;sans-serif" w:hAnsi="Helvetica;sans-serif"/>
          <w:sz w:val="18"/>
        </w:rPr>
        <w:t>Following the live webcast, a replay will be available on XBP Global’s Investor Relations website.</w:t>
      </w:r>
    </w:p>
    <w:p>
      <w:pPr>
        <w:pStyle w:val="TextBody"/>
        <w:bidi w:val="0"/>
        <w:spacing w:before="0" w:after="120"/>
        <w:ind w:left="0" w:right="0" w:hanging="10"/>
        <w:jc w:val="left"/>
        <w:rPr>
          <w:rFonts w:ascii="Helvetica;sans-serif" w:hAnsi="Helvetica;sans-serif"/>
          <w:sz w:val="18"/>
        </w:rPr>
      </w:pPr>
      <w:r>
        <w:rPr>
          <w:rFonts w:ascii="Helvetica;sans-serif" w:hAnsi="Helvetica;sans-serif"/>
          <w:sz w:val="18"/>
        </w:rPr>
        <w:t>An investor presentation relating to our second quarter 2026 performance will be available at https://investors.xbpglobal.com.</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About Pro Forma Financial Information</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This press release includes certain pro forma financial information, which is presented for informational purposes only and is not prepared in accordance with U.S. generally accepted accounting principles (“GAAP”). Pro forma results are presented on an unaudited basis as if the acquisition of BPA had been consummated on January 1, 2025, regardless of the actual closing date.</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For financial reporting purposes, BPA is treated as the accounting acquirer, and results exclude XBP Europe until July 31, 2025. As a result, reported results for periods prior to July 31, 2025 are not comparable to previous annual earnings results presented by the Company.</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Pro forma financial information is intended to provide investors with a clearer understanding of the underlying performance and trends of the combined business by illustrating the impact of the acquisition on historical results. These results are designed to facilitate period-to-period comparisons and enhance transparency into ongoing operations.</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Pro forma information is based on certain assumptions and adjustments, including the elimination of intercompany transactions, acquisition-related costs, and the alignment of accounting policies, as described in the accompanying tables and footnotes. This information is unaudited and does not purport to represent what actual results would have been had the acquisition occurred at the dates indicated, nor does it project future results.</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Pro forma financial information should be read in conjunction with historical financial statements, related notes, and the pro forma adjustments and explanatory notes included in this release.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About Non-GAAP Financial Measures</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This press release also includes certain non-GAAP financial measures, including EBITDA, Normalized EBITDA, Pro Forma Normalized EBITDA, and Adjusted Gross Margin which are not prepared in accordance with GAAP.</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Management believes these non-GAAP measures are useful supplemental measures; however, investors are encouraged to review the Company’s GAAP results and not rely on any single financial measure.</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These measures provide investors with additional insight into financial performance, results of operations, and liquidity, and help facilitate comparisons of underlying business trends across periods. Management uses these measures to evaluate performance consistently by excluding the effects of capital structure (such as varying debt levels, interest expense, and transaction costs from acquisitions).</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We define EBITDA as net income (loss), plus taxes, interest expense, and depreciation and amortization. We define Normalized EBITDA as EBITDA plus non-recurring transaction costs, non-cash equity compensation, restructuring and related expenses, loss/(gain) on sale of assets, impairment of goodwill and other non-recurring items such as reorganization items. We define Pro Forma Normalized EBITDA as Normalized EBITDA plus management’s estimates of the impact of the accounting acquisition of XBP Europe and reorganization of BPA, had such transactions occurred at the beginning of the earliest period presented. We define Adjusted Gross Margin as GAAP gross profit, adjusted to exclude severance, restructuring and related expenses, and discontinued operations, expressed as a percentage of total revenue. Management believes that Adjusted Gross Margin provides useful supplemental information to investors regarding the underlying operational performance of our business, facilitates period-over-period comparisons of core operating efficiency, and aligns with the metrics management uses to evaluate performance and allocate resources.</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Non-GAAP financial measures should not be considered in isolation or as alternatives to liquidity or financial measures determined in accordance with GAAP. A limitation of these measures is that they exclude significant expenses and income required by GAAP to be recorded in the financial statements. In addition, the determination of which items to exclude or include requires the application of management judgement, and these measures may not be comparable to similarly titled measures reported by other companies.</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These measures are not required to be uniformly applied, are unaudited, and should not be considered in isolation or as substitutes for results prepared in accordance with GAAP, and their presentation may not be comparable to similar measures used by other companies. Net loss is the GAAP measure most directly comparable to the non-GAAP measures presented here. For a reconciliation of the comparable GAAP measures to these non-GAAP financial measures, see the schedules attached to this release.</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Forward-Looking Statements</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This press release contains “forward-looking statements” within the meaning of the United States Private Securities Litigation Reform Act of 1995, Section 27A of the Securities Act of 1933, as amended, and Section 21E of the Exchange Act. These statements include financial forecasts, projections, and other statements about future operations, financial position, business strategy, market opportunities, and trends. Forward-looking statements can often be identified by terms such as “may,” “should,” “expect,” “intend,” “will,” “estimate,” “anticipate,” “believe,” “predict,” “plan,” “targets,” “projects,” “could,” “would,” “continue,” “forecast,” or similar expressions. All forward-looking statements are based on estimates, forecasts, and assumptions that are inherently uncertain and subject to risks and factors that could cause actual results to differ materially. These include, but are not limited to: (1) risks related to the acquisition and related restructuring, including the inability to realize anticipated benefits, disruptions to operations, and costs associated with the acquisition; (2) legal proceedings; (3) failure to maintain compliance with Nasdaq listing standards; (4) competition and market conditions; (5) economic, geopolitical, and regulatory changes; (6) challenges in retaining clients, employees, and suppliers; and (7) other risks detailed in the Company’s filings with the SEC, including the “Risk Factors” section of its Annual Report on Form 10-K for 2025. Readers are cautioned not to place undue reliance on forward-looking statements, which speak only as of the date made. XBP Global undertakes no obligation to update these statements, except as required by law. There is no assurance that XBP Global or its subsidiaries will achieve the results projected in these statements.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About XBP Global</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XBP Global is a multinational technology and services company powering intelligent workflows for organizations worldwide. With a presence in 20 countries and approximately 9,200 employees, XBP Global partners with over 2,000 clients, including many of the Fortune 100, to orchestrate mission-critical systems that enable hyper-automation.</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Our proprietary platforms, agentic AI-driven automation, and deep domain expertise across industries and the public and private sectors enable our clients to entrust us with their most impactful digital transformations and workflows. By combining innovation with execution excellence, XBP Global helps businesses reimagine how they work, transact, and unlock value.</w:t>
      </w:r>
    </w:p>
    <w:p>
      <w:pPr>
        <w:pStyle w:val="TextBody"/>
        <w:bidi w:val="0"/>
        <w:spacing w:before="0" w:after="120"/>
        <w:ind w:left="0" w:right="0" w:hanging="0"/>
        <w:jc w:val="left"/>
        <w:rPr>
          <w:rFonts w:ascii="Helvetica;sans-serif" w:hAnsi="Helvetica;sans-serif"/>
          <w:b/>
          <w:sz w:val="18"/>
        </w:rPr>
      </w:pPr>
      <w:r>
        <w:rPr>
          <w:rFonts w:ascii="Helvetica;sans-serif" w:hAnsi="Helvetica;sans-serif"/>
          <w:b/>
          <w:sz w:val="18"/>
        </w:rPr>
        <w:t>For more news, commentary, and industry perspectives, visit: https://www.xbpglobal.com/</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And please follow us on social:</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X: https://X.com/XBPglobal</w:t>
      </w:r>
    </w:p>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LinkedIn: https://www.linkedin.com/company/xbpglobal/</w:t>
      </w:r>
    </w:p>
    <w:p>
      <w:pPr>
        <w:pStyle w:val="TextBody"/>
        <w:bidi w:val="0"/>
        <w:spacing w:before="0" w:after="120"/>
        <w:ind w:left="0" w:right="0" w:hanging="0"/>
        <w:jc w:val="left"/>
        <w:rPr>
          <w:rFonts w:ascii="Helvetica;sans-serif" w:hAnsi="Helvetica;sans-serif"/>
          <w:i/>
          <w:sz w:val="18"/>
        </w:rPr>
      </w:pPr>
      <w:r>
        <w:rPr>
          <w:rFonts w:ascii="Helvetica;sans-serif" w:hAnsi="Helvetica;sans-serif"/>
          <w:i/>
          <w:sz w:val="18"/>
        </w:rPr>
        <w:t>The information posted on XBP Global’s website and/or via its social media accounts may be deemed material to investors. Accordingly, investors, media and others interested in XBP Global should monitor XBP Global’s website and its social media accounts in addition to XBP Global’s press releases, SEC filings and public conference calls and webcasts.</w:t>
      </w:r>
    </w:p>
    <w:p>
      <w:pPr>
        <w:pStyle w:val="TextBody"/>
        <w:bidi w:val="0"/>
        <w:spacing w:before="0" w:after="120"/>
        <w:ind w:left="0" w:right="0" w:hanging="0"/>
        <w:jc w:val="left"/>
        <w:rPr>
          <w:rFonts w:ascii="Helvetica;sans-serif" w:hAnsi="Helvetica;sans-serif"/>
          <w:sz w:val="18"/>
        </w:rPr>
      </w:pPr>
      <w:r>
        <w:rPr>
          <w:rFonts w:ascii="Helvetica;sans-serif" w:hAnsi="Helvetica;sans-serif"/>
          <w:b/>
          <w:sz w:val="18"/>
        </w:rPr>
        <w:t>Investor Relations:</w:t>
      </w:r>
      <w:r>
        <w:rPr>
          <w:rFonts w:ascii="Helvetica;sans-serif" w:hAnsi="Helvetica;sans-serif"/>
          <w:sz w:val="18"/>
        </w:rPr>
        <w:t xml:space="preserve"> investors@xbpglobal.com | </w:t>
      </w:r>
      <w:r>
        <w:rPr>
          <w:rFonts w:ascii="Helvetica;sans-serif" w:hAnsi="Helvetica;sans-serif"/>
          <w:b/>
          <w:sz w:val="18"/>
        </w:rPr>
        <w:t>Media Queries:</w:t>
      </w:r>
      <w:r>
        <w:rPr>
          <w:rFonts w:ascii="Helvetica;sans-serif" w:hAnsi="Helvetica;sans-serif"/>
          <w:sz w:val="18"/>
        </w:rPr>
        <w:t xml:space="preserve"> press@xbpglobal.com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XBP Global Holdings, Inc. and Subsidiaries</w:t>
        <w:br/>
        <w:t>Condensed Consolidated Balance Sheets</w:t>
      </w:r>
    </w:p>
    <w:p>
      <w:pPr>
        <w:pStyle w:val="TextBody"/>
        <w:bidi w:val="0"/>
        <w:spacing w:before="0" w:after="0"/>
        <w:ind w:left="0" w:right="0" w:hanging="0"/>
        <w:jc w:val="center"/>
        <w:rPr>
          <w:rFonts w:ascii="Helvetica;sans-serif" w:hAnsi="Helvetica;sans-serif"/>
          <w:sz w:val="18"/>
        </w:rPr>
      </w:pPr>
      <w:r>
        <w:rPr>
          <w:rFonts w:ascii="Helvetica;sans-serif" w:hAnsi="Helvetica;sans-serif"/>
          <w:b/>
          <w:sz w:val="18"/>
        </w:rPr>
        <w:t>As of June 30, 2026 (Successor) and December 31, 2025 (Successor)</w:t>
        <w:br/>
      </w:r>
      <w:r>
        <w:rPr>
          <w:rFonts w:ascii="Helvetica;sans-serif" w:hAnsi="Helvetica;sans-serif"/>
          <w:b/>
          <w:i/>
          <w:sz w:val="18"/>
        </w:rPr>
        <w:t>(in thousands of United States dollars except share and per share amounts)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698"/>
        <w:gridCol w:w="346"/>
        <w:gridCol w:w="181"/>
        <w:gridCol w:w="669"/>
        <w:gridCol w:w="346"/>
        <w:gridCol w:w="193"/>
        <w:gridCol w:w="772"/>
      </w:tblGrid>
      <w:tr>
        <w:trPr/>
        <w:tc>
          <w:tcPr>
            <w:tcW w:w="769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14935" cy="175260"/>
                      <wp:effectExtent l="0" t="0" r="0" b="0"/>
                      <wp:wrapNone/>
                      <wp:docPr id="16" name="Frame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4815" cy="29210"/>
                      <wp:effectExtent l="0" t="0" r="0" b="0"/>
                      <wp:wrapNone/>
                      <wp:docPr id="17" name="Frame16"/>
                      <a:graphic xmlns:a="http://schemas.openxmlformats.org/drawingml/2006/main">
                        <a:graphicData uri="http://schemas.microsoft.com/office/word/2010/wordprocessingShape">
                          <wps:wsp>
                            <wps:cNvSpPr txBox="1"/>
                            <wps:spPr>
                              <a:xfrm>
                                <a:off x="0" y="0"/>
                                <a:ext cx="4248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2555" cy="175260"/>
                      <wp:effectExtent l="0" t="0" r="0" b="0"/>
                      <wp:wrapNone/>
                      <wp:docPr id="19" name="Frame18"/>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90220" cy="29210"/>
                      <wp:effectExtent l="0" t="0" r="0" b="0"/>
                      <wp:wrapNone/>
                      <wp:docPr id="20" name="Frame19"/>
                      <a:graphic xmlns:a="http://schemas.openxmlformats.org/drawingml/2006/main">
                        <a:graphicData uri="http://schemas.microsoft.com/office/word/2010/wordprocessingShape">
                          <wps:wsp>
                            <wps:cNvSpPr txBox="1"/>
                            <wps:spPr>
                              <a:xfrm>
                                <a:off x="0" y="0"/>
                                <a:ext cx="4902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698" w:type="dxa"/>
            <w:tcBorders/>
            <w:vAlign w:val="center"/>
          </w:tcPr>
          <w:p>
            <w:pPr>
              <w:pStyle w:val="TableContents"/>
              <w:bidi w:val="0"/>
              <w:spacing w:lineRule="auto" w:line="328" w:before="0" w:after="1"/>
              <w:ind w:left="0" w:right="0" w:hanging="0"/>
              <w:jc w:val="left"/>
              <w:rPr/>
            </w:pPr>
            <w:r>
              <w:rPr/>
              <w:t>​</w:t>
            </w:r>
          </w:p>
        </w:tc>
        <w:tc>
          <w:tcPr>
            <w:tcW w:w="346" w:type="dxa"/>
            <w:tcBorders/>
            <w:vAlign w:val="center"/>
          </w:tcPr>
          <w:p>
            <w:pPr>
              <w:pStyle w:val="TableContents"/>
              <w:bidi w:val="0"/>
              <w:spacing w:lineRule="auto" w:line="328" w:before="0" w:after="1"/>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Helvetica;sans-serif" w:hAnsi="Helvetica;sans-serif"/>
                <w:b/>
                <w:sz w:val="13"/>
              </w:rPr>
            </w:pPr>
            <w:r>
              <w:rPr>
                <w:rFonts w:ascii="Helvetica;sans-serif" w:hAnsi="Helvetica;sans-serif"/>
                <w:b/>
                <w:sz w:val="13"/>
              </w:rPr>
              <w:t>Successor</w:t>
            </w:r>
          </w:p>
        </w:tc>
      </w:tr>
      <w:tr>
        <w:trPr/>
        <w:tc>
          <w:tcPr>
            <w:tcW w:w="7698" w:type="dxa"/>
            <w:tcBorders/>
            <w:vAlign w:val="center"/>
          </w:tcPr>
          <w:p>
            <w:pPr>
              <w:pStyle w:val="TableContents"/>
              <w:bidi w:val="0"/>
              <w:spacing w:lineRule="auto" w:line="328" w:before="0" w:after="1"/>
              <w:ind w:left="0" w:right="0" w:hanging="0"/>
              <w:jc w:val="left"/>
              <w:rPr/>
            </w:pPr>
            <w:r>
              <w:rPr/>
              <w:t>​</w:t>
            </w:r>
          </w:p>
        </w:tc>
        <w:tc>
          <w:tcPr>
            <w:tcW w:w="346" w:type="dxa"/>
            <w:tcBorders/>
            <w:vAlign w:val="center"/>
          </w:tcPr>
          <w:p>
            <w:pPr>
              <w:pStyle w:val="TableContents"/>
              <w:bidi w:val="0"/>
              <w:spacing w:lineRule="auto" w:line="328" w:before="0" w:after="1"/>
              <w:ind w:left="0" w:right="0" w:hanging="0"/>
              <w:jc w:val="left"/>
              <w:rPr/>
            </w:pPr>
            <w:r>
              <w:rPr/>
              <w:t>​</w:t>
            </w:r>
          </w:p>
        </w:tc>
        <w:tc>
          <w:tcPr>
            <w:tcW w:w="2161" w:type="dxa"/>
            <w:gridSpan w:val="5"/>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Helvetica;sans-serif" w:hAnsi="Helvetica;sans-serif"/>
                <w:b/>
                <w:sz w:val="13"/>
              </w:rPr>
            </w:pPr>
            <w:r>
              <w:rPr>
                <w:rFonts w:ascii="Helvetica;sans-serif" w:hAnsi="Helvetica;sans-serif"/>
                <w:b/>
                <w:sz w:val="13"/>
              </w:rPr>
              <w:t>Consolidated</w:t>
            </w:r>
          </w:p>
        </w:tc>
      </w:tr>
      <w:tr>
        <w:trPr/>
        <w:tc>
          <w:tcPr>
            <w:tcW w:w="7698" w:type="dxa"/>
            <w:tcBorders/>
            <w:vAlign w:val="center"/>
          </w:tcPr>
          <w:p>
            <w:pPr>
              <w:pStyle w:val="TableContents"/>
              <w:bidi w:val="0"/>
              <w:spacing w:lineRule="auto" w:line="328" w:before="0" w:after="1"/>
              <w:ind w:left="0" w:right="0" w:hanging="0"/>
              <w:jc w:val="left"/>
              <w:rPr/>
            </w:pPr>
            <w:r>
              <w:rPr/>
              <w:t>​</w:t>
            </w:r>
          </w:p>
        </w:tc>
        <w:tc>
          <w:tcPr>
            <w:tcW w:w="346" w:type="dxa"/>
            <w:tcBorders/>
            <w:vAlign w:val="center"/>
          </w:tcPr>
          <w:p>
            <w:pPr>
              <w:pStyle w:val="TableContents"/>
              <w:bidi w:val="0"/>
              <w:spacing w:lineRule="auto" w:line="328" w:before="0" w:after="1"/>
              <w:ind w:left="0" w:right="0" w:hanging="0"/>
              <w:jc w:val="left"/>
              <w:rPr/>
            </w:pPr>
            <w:r>
              <w:rPr/>
              <w:t>​</w:t>
            </w:r>
          </w:p>
        </w:tc>
        <w:tc>
          <w:tcPr>
            <w:tcW w:w="850" w:type="dxa"/>
            <w:gridSpan w:val="2"/>
            <w:tcBorders/>
            <w:vAlign w:val="center"/>
          </w:tcPr>
          <w:p>
            <w:pPr>
              <w:pStyle w:val="TableContents"/>
              <w:bidi w:val="0"/>
              <w:spacing w:lineRule="auto" w:line="328" w:before="0" w:after="1"/>
              <w:ind w:left="0" w:right="0" w:hanging="0"/>
              <w:jc w:val="center"/>
              <w:rPr>
                <w:rFonts w:ascii="Helvetica;sans-serif" w:hAnsi="Helvetica;sans-serif"/>
                <w:b/>
                <w:sz w:val="13"/>
              </w:rPr>
            </w:pPr>
            <w:r>
              <w:rPr>
                <w:rFonts w:ascii="Helvetica;sans-serif" w:hAnsi="Helvetica;sans-serif"/>
                <w:b/>
                <w:sz w:val="13"/>
              </w:rPr>
              <w:t>June 30, </w:t>
            </w:r>
          </w:p>
        </w:tc>
        <w:tc>
          <w:tcPr>
            <w:tcW w:w="346" w:type="dxa"/>
            <w:tcBorders/>
            <w:vAlign w:val="center"/>
          </w:tcPr>
          <w:p>
            <w:pPr>
              <w:pStyle w:val="TableContents"/>
              <w:bidi w:val="0"/>
              <w:spacing w:lineRule="auto" w:line="328" w:before="0" w:after="1"/>
              <w:ind w:left="0" w:right="0" w:hanging="0"/>
              <w:jc w:val="left"/>
              <w:rPr/>
            </w:pPr>
            <w:r>
              <w:rPr/>
              <w:t>​</w:t>
            </w:r>
          </w:p>
        </w:tc>
        <w:tc>
          <w:tcPr>
            <w:tcW w:w="965" w:type="dxa"/>
            <w:gridSpan w:val="2"/>
            <w:tcBorders/>
            <w:vAlign w:val="center"/>
          </w:tcPr>
          <w:p>
            <w:pPr>
              <w:pStyle w:val="TableContents"/>
              <w:bidi w:val="0"/>
              <w:spacing w:lineRule="auto" w:line="328" w:before="0" w:after="1"/>
              <w:ind w:left="0" w:right="0" w:hanging="0"/>
              <w:jc w:val="center"/>
              <w:rPr/>
            </w:pPr>
            <w:r>
              <w:rPr/>
              <w:t>​</w:t>
            </w:r>
          </w:p>
        </w:tc>
      </w:tr>
      <w:tr>
        <w:trPr/>
        <w:tc>
          <w:tcPr>
            <w:tcW w:w="7698" w:type="dxa"/>
            <w:tcBorders/>
            <w:vAlign w:val="center"/>
          </w:tcPr>
          <w:p>
            <w:pPr>
              <w:pStyle w:val="TableContents"/>
              <w:bidi w:val="0"/>
              <w:spacing w:lineRule="auto" w:line="328" w:before="0" w:after="1"/>
              <w:ind w:left="0" w:right="0" w:hanging="0"/>
              <w:jc w:val="left"/>
              <w:rPr/>
            </w:pPr>
            <w:r>
              <w:rPr/>
              <w:t>​</w:t>
            </w:r>
          </w:p>
        </w:tc>
        <w:tc>
          <w:tcPr>
            <w:tcW w:w="346" w:type="dxa"/>
            <w:tcBorders/>
            <w:vAlign w:val="center"/>
          </w:tcPr>
          <w:p>
            <w:pPr>
              <w:pStyle w:val="TableContents"/>
              <w:bidi w:val="0"/>
              <w:spacing w:lineRule="auto" w:line="328" w:before="0" w:after="1"/>
              <w:ind w:left="0" w:right="0" w:hanging="0"/>
              <w:jc w:val="left"/>
              <w:rPr/>
            </w:pPr>
            <w:r>
              <w:rPr/>
              <w:t>  ​ ​ ​</w:t>
            </w:r>
          </w:p>
        </w:tc>
        <w:tc>
          <w:tcPr>
            <w:tcW w:w="850"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Helvetica;sans-serif" w:hAnsi="Helvetica;sans-serif"/>
                <w:b/>
                <w:sz w:val="13"/>
              </w:rPr>
            </w:pPr>
            <w:r>
              <w:rPr>
                <w:rFonts w:ascii="Helvetica;sans-serif" w:hAnsi="Helvetica;sans-serif"/>
                <w:b/>
                <w:sz w:val="13"/>
              </w:rPr>
              <w:t xml:space="preserve">2026 </w:t>
              <w:br/>
              <w:t>(Unaudited)</w:t>
            </w:r>
          </w:p>
        </w:tc>
        <w:tc>
          <w:tcPr>
            <w:tcW w:w="346" w:type="dxa"/>
            <w:tcBorders/>
            <w:vAlign w:val="center"/>
          </w:tcPr>
          <w:p>
            <w:pPr>
              <w:pStyle w:val="TableContents"/>
              <w:bidi w:val="0"/>
              <w:spacing w:lineRule="auto" w:line="328" w:before="0" w:after="1"/>
              <w:ind w:left="0" w:right="0" w:hanging="0"/>
              <w:jc w:val="left"/>
              <w:rPr/>
            </w:pPr>
            <w:r>
              <w:rPr/>
              <w:t>  ​ ​ ​</w:t>
            </w:r>
          </w:p>
        </w:tc>
        <w:tc>
          <w:tcPr>
            <w:tcW w:w="965" w:type="dxa"/>
            <w:gridSpan w:val="2"/>
            <w:tcBorders>
              <w:bottom w:val="single" w:sz="2" w:space="0" w:color="000000"/>
            </w:tcBorders>
            <w:tcMar>
              <w:bottom w:w="28" w:type="dxa"/>
            </w:tcMar>
            <w:vAlign w:val="center"/>
          </w:tcPr>
          <w:p>
            <w:pPr>
              <w:pStyle w:val="TableContents"/>
              <w:bidi w:val="0"/>
              <w:spacing w:lineRule="auto" w:line="328" w:before="0" w:after="1"/>
              <w:ind w:left="0" w:right="0" w:hanging="0"/>
              <w:jc w:val="center"/>
              <w:rPr>
                <w:rFonts w:ascii="Helvetica;sans-serif" w:hAnsi="Helvetica;sans-serif"/>
                <w:b/>
                <w:sz w:val="13"/>
              </w:rPr>
            </w:pPr>
            <w:r>
              <w:rPr>
                <w:rFonts w:ascii="Helvetica;sans-serif" w:hAnsi="Helvetica;sans-serif"/>
                <w:b/>
                <w:sz w:val="13"/>
              </w:rPr>
              <w:t>December 31,</w:t>
              <w:br/>
              <w:t>2025</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Assets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pPr>
            <w:r>
              <w:rPr/>
              <w:t>  ​</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pPr>
            <w:r>
              <w:rPr/>
              <w:t>  ​</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Current assets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pPr>
            <w:r>
              <w:rPr/>
              <w:t>  ​</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pPr>
            <w:r>
              <w:rPr/>
              <w:t>  ​</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Cash and cash equivalents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18,579</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37,113</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Restricted cash</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 </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9,380</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 </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31,553</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Accounts receivable, net of allowance for credit losses of $3,826 and $5,660, respectively</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129,417</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130,281</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Related party receivables and prepaid expenses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980</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736</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Inventories, net</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11,204</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11,365</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Assets held for sale</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2,340</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pPr>
            <w:r>
              <w:rPr/>
              <w:t>—</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Prepaid expenses and other current assets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24,876</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28,699</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Total current assets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 </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196,776</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 </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239,747</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Property, plant and equipment, net of accumulated depreciation of $19,155 and $11,094, respectively</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72,504</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82,956</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Operating lease right-of-use assets, net</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26,386</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30,339</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Goodwill</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189,881</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189,881</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Intangible assets, net</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325,628</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344,080</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Other noncurrent assets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16,594</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15,094</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Total assets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w:t>
            </w:r>
          </w:p>
        </w:tc>
        <w:tc>
          <w:tcPr>
            <w:tcW w:w="669"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827,769</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w:t>
            </w:r>
          </w:p>
        </w:tc>
        <w:tc>
          <w:tcPr>
            <w:tcW w:w="772"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902,097</w:t>
            </w:r>
          </w:p>
        </w:tc>
      </w:tr>
      <w:tr>
        <w:trPr/>
        <w:tc>
          <w:tcPr>
            <w:tcW w:w="7698" w:type="dxa"/>
            <w:tcBorders/>
            <w:shd w:fill="CCEEFF" w:val="clear"/>
            <w:vAlign w:val="center"/>
          </w:tcPr>
          <w:p>
            <w:pPr>
              <w:pStyle w:val="TableContents"/>
              <w:bidi w:val="0"/>
              <w:spacing w:lineRule="auto" w:line="328" w:before="0" w:after="1"/>
              <w:ind w:left="0" w:right="0" w:hanging="0"/>
              <w:jc w:val="left"/>
              <w:rPr/>
            </w:pPr>
            <w:r>
              <w:rPr/>
              <w:t>​</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pPr>
            <w:r>
              <w:rPr/>
              <w:t>​</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pPr>
            <w:r>
              <w:rPr/>
              <w:t>​</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Liabilities and Stockholders' Equity</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 </w:t>
            </w:r>
          </w:p>
        </w:tc>
        <w:tc>
          <w:tcPr>
            <w:tcW w:w="669" w:type="dxa"/>
            <w:tcBorders/>
            <w:vAlign w:val="center"/>
          </w:tcPr>
          <w:p>
            <w:pPr>
              <w:pStyle w:val="TableContents"/>
              <w:bidi w:val="0"/>
              <w:spacing w:lineRule="auto" w:line="328" w:before="0" w:after="1"/>
              <w:ind w:left="0" w:right="0" w:hanging="0"/>
              <w:jc w:val="right"/>
              <w:rPr/>
            </w:pPr>
            <w:r>
              <w:rPr/>
              <w:t>  ​</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 </w:t>
            </w:r>
          </w:p>
        </w:tc>
        <w:tc>
          <w:tcPr>
            <w:tcW w:w="772" w:type="dxa"/>
            <w:tcBorders/>
            <w:vAlign w:val="center"/>
          </w:tcPr>
          <w:p>
            <w:pPr>
              <w:pStyle w:val="TableContents"/>
              <w:bidi w:val="0"/>
              <w:spacing w:lineRule="auto" w:line="328" w:before="0" w:after="1"/>
              <w:ind w:left="0" w:right="0" w:hanging="0"/>
              <w:jc w:val="right"/>
              <w:rPr/>
            </w:pPr>
            <w:r>
              <w:rPr/>
              <w:t>  ​</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Liabilities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 </w:t>
            </w:r>
          </w:p>
        </w:tc>
        <w:tc>
          <w:tcPr>
            <w:tcW w:w="669" w:type="dxa"/>
            <w:tcBorders/>
            <w:shd w:fill="CCEEFF" w:val="clear"/>
            <w:vAlign w:val="center"/>
          </w:tcPr>
          <w:p>
            <w:pPr>
              <w:pStyle w:val="TableContents"/>
              <w:bidi w:val="0"/>
              <w:spacing w:lineRule="auto" w:line="328" w:before="0" w:after="1"/>
              <w:ind w:left="0" w:right="0" w:hanging="0"/>
              <w:jc w:val="right"/>
              <w:rPr/>
            </w:pPr>
            <w:r>
              <w:rPr/>
              <w:t>  ​</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 </w:t>
            </w:r>
          </w:p>
        </w:tc>
        <w:tc>
          <w:tcPr>
            <w:tcW w:w="772" w:type="dxa"/>
            <w:tcBorders/>
            <w:shd w:fill="CCEEFF" w:val="clear"/>
            <w:vAlign w:val="center"/>
          </w:tcPr>
          <w:p>
            <w:pPr>
              <w:pStyle w:val="TableContents"/>
              <w:bidi w:val="0"/>
              <w:spacing w:lineRule="auto" w:line="328" w:before="0" w:after="1"/>
              <w:ind w:left="0" w:right="0" w:hanging="0"/>
              <w:jc w:val="right"/>
              <w:rPr/>
            </w:pPr>
            <w:r>
              <w:rPr/>
              <w:t>  ​</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Current liabilities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pPr>
            <w:r>
              <w:rPr/>
              <w:t>​</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pPr>
            <w:r>
              <w:rPr/>
              <w:t>​</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Current portion of long-term debt</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25,266</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34,334</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Accounts payable</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64,493</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55,700</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Related party payables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3,748</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5,343</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Income tax payable</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5,848</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6,158</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 xml:space="preserve">Accrued liabilities </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50,729</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47,101</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Accrued compensation and benefits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58,075</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56,314</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Accrued interest</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9,803</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13,685</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Customer deposits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18,354</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21,691</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Deferred revenue</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13,285</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11,881</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 xml:space="preserve">Obligation for claim payment </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44,086</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55,632</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Current portion of finance lease liabilities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4,147</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4,390</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Current portion of operating lease liabilities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10,104</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9,814</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Total current liabilities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307,938</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322,043</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 xml:space="preserve">Long-term debt, net of current maturities </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347,642</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353,267</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Finance lease liabilities, net of current portion</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5,252</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6,857</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Net defined benefit liability</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7,611</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6,241</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Deferred income tax liabilities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47,527</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52,595</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Long-term income tax liabilities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9,395</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10,554</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Operating lease liabilities, net of current portion</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18,369</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22,530</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Other long-term liabilities</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37,571</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40,671</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Total liabilities</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781,305</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814,758</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Commitments and Contingencies (Note 9)</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 </w:t>
            </w:r>
          </w:p>
        </w:tc>
        <w:tc>
          <w:tcPr>
            <w:tcW w:w="669" w:type="dxa"/>
            <w:tcBorders/>
            <w:vAlign w:val="center"/>
          </w:tcPr>
          <w:p>
            <w:pPr>
              <w:pStyle w:val="TableContents"/>
              <w:bidi w:val="0"/>
              <w:spacing w:lineRule="auto" w:line="328" w:before="0" w:after="1"/>
              <w:ind w:left="0" w:right="0" w:hanging="0"/>
              <w:jc w:val="right"/>
              <w:rPr/>
            </w:pPr>
            <w:r>
              <w:rPr/>
              <w:t>  ​</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 </w:t>
            </w:r>
          </w:p>
        </w:tc>
        <w:tc>
          <w:tcPr>
            <w:tcW w:w="772" w:type="dxa"/>
            <w:tcBorders/>
            <w:vAlign w:val="center"/>
          </w:tcPr>
          <w:p>
            <w:pPr>
              <w:pStyle w:val="TableContents"/>
              <w:bidi w:val="0"/>
              <w:spacing w:lineRule="auto" w:line="328" w:before="0" w:after="1"/>
              <w:ind w:left="0" w:right="0" w:hanging="0"/>
              <w:jc w:val="right"/>
              <w:rPr/>
            </w:pPr>
            <w:r>
              <w:rPr/>
              <w:t>  ​</w:t>
            </w:r>
          </w:p>
        </w:tc>
      </w:tr>
      <w:tr>
        <w:trPr/>
        <w:tc>
          <w:tcPr>
            <w:tcW w:w="7698" w:type="dxa"/>
            <w:tcBorders/>
            <w:shd w:fill="CCEEFF" w:val="clear"/>
            <w:vAlign w:val="center"/>
          </w:tcPr>
          <w:p>
            <w:pPr>
              <w:pStyle w:val="TableContents"/>
              <w:bidi w:val="0"/>
              <w:spacing w:lineRule="auto" w:line="328" w:before="0" w:after="1"/>
              <w:ind w:left="0" w:right="0" w:hanging="0"/>
              <w:jc w:val="left"/>
              <w:rPr/>
            </w:pPr>
            <w:r>
              <w:rPr/>
              <w:t>​</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left"/>
              <w:rPr/>
            </w:pPr>
            <w:r>
              <w:rPr/>
              <w:t>​</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left"/>
              <w:rPr/>
            </w:pPr>
            <w:r>
              <w:rPr/>
              <w:t>​</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Stockholders' Equity</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 </w:t>
            </w:r>
          </w:p>
        </w:tc>
        <w:tc>
          <w:tcPr>
            <w:tcW w:w="669" w:type="dxa"/>
            <w:tcBorders/>
            <w:vAlign w:val="center"/>
          </w:tcPr>
          <w:p>
            <w:pPr>
              <w:pStyle w:val="TableContents"/>
              <w:bidi w:val="0"/>
              <w:spacing w:lineRule="auto" w:line="328" w:before="0" w:after="1"/>
              <w:ind w:left="0" w:right="0" w:hanging="0"/>
              <w:jc w:val="right"/>
              <w:rPr/>
            </w:pPr>
            <w:r>
              <w:rPr/>
              <w:t>  ​</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 </w:t>
            </w:r>
          </w:p>
        </w:tc>
        <w:tc>
          <w:tcPr>
            <w:tcW w:w="772" w:type="dxa"/>
            <w:tcBorders/>
            <w:vAlign w:val="center"/>
          </w:tcPr>
          <w:p>
            <w:pPr>
              <w:pStyle w:val="TableContents"/>
              <w:bidi w:val="0"/>
              <w:spacing w:lineRule="auto" w:line="328" w:before="0" w:after="1"/>
              <w:ind w:left="0" w:right="0" w:hanging="0"/>
              <w:jc w:val="right"/>
              <w:rPr/>
            </w:pPr>
            <w:r>
              <w:rPr/>
              <w:t>  ​</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Common stock, par value of $0.0001 per share; 400,000,000 shares authorized; 11,778,409 shares issued and outstanding as of June 30, 2026 and 11,755,434 shares issued and outstanding as of December 31, 2025</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12</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12</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Preferred stock, par value of $0.0001 per share; 20,000,000 shares authorized; none issued and outstanding as of June 30, 2026 and December 31, 2025</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pPr>
            <w:r>
              <w:rPr/>
              <w:t>—</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pPr>
            <w:r>
              <w:rPr/>
              <w:t>—</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Additional paid in capital</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438,912</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437,995</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Accumulated deficit</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(394,589)</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(351,123)</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Accumulated other comprehensive profit:</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shd w:fill="CCEEFF" w:val="clear"/>
            <w:vAlign w:val="center"/>
          </w:tcPr>
          <w:p>
            <w:pPr>
              <w:pStyle w:val="TableContents"/>
              <w:bidi w:val="0"/>
              <w:spacing w:lineRule="auto" w:line="328" w:before="0" w:after="1"/>
              <w:ind w:left="0" w:right="0" w:hanging="0"/>
              <w:jc w:val="left"/>
              <w:rPr/>
            </w:pPr>
            <w:r>
              <w:rPr/>
              <w:t>​</w:t>
            </w:r>
          </w:p>
        </w:tc>
        <w:tc>
          <w:tcPr>
            <w:tcW w:w="669" w:type="dxa"/>
            <w:tcBorders/>
            <w:shd w:fill="CCEEFF" w:val="clear"/>
            <w:vAlign w:val="center"/>
          </w:tcPr>
          <w:p>
            <w:pPr>
              <w:pStyle w:val="TableContents"/>
              <w:bidi w:val="0"/>
              <w:spacing w:lineRule="auto" w:line="328" w:before="0" w:after="1"/>
              <w:ind w:left="0" w:right="0" w:hanging="0"/>
              <w:jc w:val="right"/>
              <w:rPr/>
            </w:pPr>
            <w:r>
              <w:rPr/>
              <w:t>​</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shd w:fill="CCEEFF" w:val="clear"/>
            <w:vAlign w:val="center"/>
          </w:tcPr>
          <w:p>
            <w:pPr>
              <w:pStyle w:val="TableContents"/>
              <w:bidi w:val="0"/>
              <w:spacing w:lineRule="auto" w:line="328" w:before="0" w:after="1"/>
              <w:ind w:left="0" w:right="0" w:hanging="0"/>
              <w:jc w:val="left"/>
              <w:rPr/>
            </w:pPr>
            <w:r>
              <w:rPr/>
              <w:t>​</w:t>
            </w:r>
          </w:p>
        </w:tc>
        <w:tc>
          <w:tcPr>
            <w:tcW w:w="772" w:type="dxa"/>
            <w:tcBorders/>
            <w:shd w:fill="CCEEFF" w:val="clear"/>
            <w:vAlign w:val="center"/>
          </w:tcPr>
          <w:p>
            <w:pPr>
              <w:pStyle w:val="TableContents"/>
              <w:bidi w:val="0"/>
              <w:spacing w:lineRule="auto" w:line="328" w:before="0" w:after="1"/>
              <w:ind w:left="0" w:right="0" w:hanging="0"/>
              <w:jc w:val="right"/>
              <w:rPr/>
            </w:pPr>
            <w:r>
              <w:rPr/>
              <w:t>​</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Foreign currency translation adjustment</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vAlign w:val="center"/>
          </w:tcPr>
          <w:p>
            <w:pPr>
              <w:pStyle w:val="TableContents"/>
              <w:bidi w:val="0"/>
              <w:spacing w:lineRule="auto" w:line="328" w:before="0" w:after="1"/>
              <w:ind w:left="0" w:right="0" w:hanging="0"/>
              <w:jc w:val="left"/>
              <w:rPr/>
            </w:pPr>
            <w:r>
              <w:rPr/>
              <w:t>​</w:t>
            </w:r>
          </w:p>
        </w:tc>
        <w:tc>
          <w:tcPr>
            <w:tcW w:w="669"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534</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vAlign w:val="center"/>
          </w:tcPr>
          <w:p>
            <w:pPr>
              <w:pStyle w:val="TableContents"/>
              <w:bidi w:val="0"/>
              <w:spacing w:lineRule="auto" w:line="328" w:before="0" w:after="1"/>
              <w:ind w:left="0" w:right="0" w:hanging="0"/>
              <w:jc w:val="left"/>
              <w:rPr/>
            </w:pPr>
            <w:r>
              <w:rPr/>
              <w:t>​</w:t>
            </w:r>
          </w:p>
        </w:tc>
        <w:tc>
          <w:tcPr>
            <w:tcW w:w="772" w:type="dxa"/>
            <w:tcBorders/>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(1,263)</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Unrealized pension actuarial gains, net of tax</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1,595</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1,718</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Total accumulated other comprehensive profit</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2,129</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Helvetica;sans-serif" w:hAnsi="Helvetica;sans-serif"/>
                <w:sz w:val="13"/>
              </w:rPr>
            </w:pPr>
            <w:r>
              <w:rPr>
                <w:rFonts w:ascii="Helvetica;sans-serif" w:hAnsi="Helvetica;sans-serif"/>
                <w:sz w:val="13"/>
              </w:rPr>
              <w:t>455</w:t>
            </w:r>
          </w:p>
        </w:tc>
      </w:tr>
      <w:tr>
        <w:trPr/>
        <w:tc>
          <w:tcPr>
            <w:tcW w:w="7698" w:type="dxa"/>
            <w:tcBorders/>
            <w:shd w:fill="CCEEFF" w:val="clear"/>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Total stockholders' equity</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46,464</w:t>
            </w:r>
          </w:p>
        </w:tc>
        <w:tc>
          <w:tcPr>
            <w:tcW w:w="346" w:type="dxa"/>
            <w:tcBorders/>
            <w:shd w:fill="CCEEFF" w:val="clear"/>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87,339</w:t>
            </w:r>
          </w:p>
        </w:tc>
      </w:tr>
      <w:tr>
        <w:trPr/>
        <w:tc>
          <w:tcPr>
            <w:tcW w:w="7698" w:type="dxa"/>
            <w:tcBorders/>
            <w:vAlign w:val="center"/>
          </w:tcPr>
          <w:p>
            <w:pPr>
              <w:pStyle w:val="TableContents"/>
              <w:bidi w:val="0"/>
              <w:spacing w:lineRule="auto" w:line="328" w:before="0" w:after="1"/>
              <w:ind w:left="0" w:right="0" w:hanging="0"/>
              <w:jc w:val="left"/>
              <w:rPr>
                <w:rFonts w:ascii="Helvetica;sans-serif" w:hAnsi="Helvetica;sans-serif"/>
                <w:b/>
                <w:sz w:val="13"/>
              </w:rPr>
            </w:pPr>
            <w:r>
              <w:rPr>
                <w:rFonts w:ascii="Helvetica;sans-serif" w:hAnsi="Helvetica;sans-serif"/>
                <w:b/>
                <w:sz w:val="13"/>
              </w:rPr>
              <w:t>Total liabilities and stockholders' equity</w:t>
            </w:r>
          </w:p>
        </w:tc>
        <w:tc>
          <w:tcPr>
            <w:tcW w:w="346" w:type="dxa"/>
            <w:tcBorders/>
            <w:vAlign w:val="center"/>
          </w:tcPr>
          <w:p>
            <w:pPr>
              <w:pStyle w:val="TableContents"/>
              <w:bidi w:val="0"/>
              <w:spacing w:lineRule="auto" w:line="328"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w:t>
            </w:r>
          </w:p>
        </w:tc>
        <w:tc>
          <w:tcPr>
            <w:tcW w:w="669" w:type="dxa"/>
            <w:tcBorders>
              <w:bottom w:val="single" w:sz="2" w:space="0" w:color="000000"/>
            </w:tcBorders>
            <w:tcMar>
              <w:bottom w:w="28" w:type="dxa"/>
            </w:tcMar>
            <w:vAlign w:val="center"/>
          </w:tcPr>
          <w:p>
            <w:pPr>
              <w:pStyle w:val="TableContents"/>
              <w:bidi w:val="0"/>
              <w:spacing w:lineRule="auto" w:line="328" w:before="0" w:after="1"/>
              <w:ind w:left="0" w:right="0" w:hanging="0"/>
              <w:jc w:val="right"/>
              <w:rPr>
                <w:rFonts w:ascii="Helvetica;sans-serif" w:hAnsi="Helvetica;sans-serif"/>
                <w:b/>
                <w:sz w:val="13"/>
              </w:rPr>
            </w:pPr>
            <w:r>
              <w:rPr>
                <w:rFonts w:ascii="Helvetica;sans-serif" w:hAnsi="Helvetica;sans-serif"/>
                <w:b/>
                <w:sz w:val="13"/>
              </w:rPr>
              <w:t>827,769</w:t>
            </w:r>
          </w:p>
        </w:tc>
        <w:tc>
          <w:tcPr>
            <w:tcW w:w="346" w:type="dxa"/>
            <w:tcBorders/>
            <w:vAlign w:val="center"/>
          </w:tcPr>
          <w:p>
            <w:pPr>
              <w:pStyle w:val="TableContents"/>
              <w:bidi w:val="0"/>
              <w:spacing w:lineRule="auto" w:line="328" w:before="0" w:after="1"/>
              <w:ind w:left="0" w:right="0" w:hanging="0"/>
              <w:jc w:val="left"/>
              <w:rPr/>
            </w:pPr>
            <w:r>
              <w:rPr/>
              <w:t>​</w:t>
            </w:r>
          </w:p>
        </w:tc>
        <w:tc>
          <w:tcPr>
            <w:tcW w:w="193" w:type="dxa"/>
            <w:tcBorders>
              <w:bottom w:val="single" w:sz="2" w:space="0" w:color="000000"/>
            </w:tcBorders>
            <w:tcMar>
              <w:bottom w:w="28" w:type="dxa"/>
            </w:tcMar>
            <w:vAlign w:val="center"/>
          </w:tcPr>
          <w:p>
            <w:pPr>
              <w:pStyle w:val="TableContents"/>
              <w:bidi w:val="0"/>
              <w:spacing w:lineRule="auto" w:line="328" w:before="0" w:after="1"/>
              <w:ind w:left="0" w:right="0" w:hanging="0"/>
              <w:jc w:val="left"/>
              <w:rPr>
                <w:rFonts w:ascii="Helvetica;sans-serif" w:hAnsi="Helvetica;sans-serif"/>
                <w:sz w:val="13"/>
              </w:rPr>
            </w:pPr>
            <w:r>
              <w:rPr>
                <w:rFonts w:ascii="Helvetica;sans-serif" w:hAnsi="Helvetica;sans-serif"/>
                <w:sz w:val="13"/>
              </w:rPr>
              <w:t>$</w:t>
            </w:r>
          </w:p>
        </w:tc>
        <w:tc>
          <w:tcPr>
            <w:tcW w:w="772" w:type="dxa"/>
            <w:tcBorders>
              <w:bottom w:val="single" w:sz="2" w:space="0" w:color="000000"/>
            </w:tcBorders>
            <w:tcMar>
              <w:bottom w:w="28" w:type="dxa"/>
            </w:tcMar>
            <w:vAlign w:val="center"/>
          </w:tcPr>
          <w:p>
            <w:pPr>
              <w:pStyle w:val="TableContents"/>
              <w:bidi w:val="0"/>
              <w:spacing w:lineRule="auto" w:line="328" w:before="0" w:after="1"/>
              <w:ind w:left="0" w:right="58" w:hanging="0"/>
              <w:jc w:val="right"/>
              <w:rPr>
                <w:rFonts w:ascii="Helvetica;sans-serif" w:hAnsi="Helvetica;sans-serif"/>
                <w:b/>
                <w:sz w:val="13"/>
              </w:rPr>
            </w:pPr>
            <w:r>
              <w:rPr>
                <w:rFonts w:ascii="Helvetica;sans-serif" w:hAnsi="Helvetica;sans-serif"/>
                <w:b/>
                <w:sz w:val="13"/>
              </w:rPr>
              <w:t>902,097</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XBP Global Holdings, Inc. and Subsidiaries</w:t>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Condensed Consolidated and Combined Statements of Operations</w:t>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For the three and six months ended June 30, 2026 (Successor) and June 30, 2025 (Predecessor)</w:t>
      </w:r>
    </w:p>
    <w:p>
      <w:pPr>
        <w:pStyle w:val="TextBody"/>
        <w:bidi w:val="0"/>
        <w:spacing w:before="0" w:after="0"/>
        <w:ind w:left="0" w:right="0" w:hanging="0"/>
        <w:jc w:val="center"/>
        <w:rPr>
          <w:rFonts w:ascii="Helvetica;sans-serif" w:hAnsi="Helvetica;sans-serif"/>
          <w:i/>
          <w:sz w:val="18"/>
        </w:rPr>
      </w:pPr>
      <w:r>
        <w:rPr>
          <w:rFonts w:ascii="Helvetica;sans-serif" w:hAnsi="Helvetica;sans-serif"/>
          <w:i/>
          <w:sz w:val="18"/>
        </w:rPr>
        <w:t>(in thousands of United States dollars except share and per share amounts)</w:t>
      </w:r>
    </w:p>
    <w:p>
      <w:pPr>
        <w:pStyle w:val="TextBody"/>
        <w:bidi w:val="0"/>
        <w:spacing w:before="0" w:after="120"/>
        <w:ind w:left="0" w:right="0" w:hanging="0"/>
        <w:jc w:val="center"/>
        <w:rPr>
          <w:rFonts w:ascii="Helvetica;sans-serif" w:hAnsi="Helvetica;sans-serif"/>
          <w:sz w:val="18"/>
        </w:rPr>
      </w:pPr>
      <w:r>
        <w:rPr>
          <w:rFonts w:ascii="Helvetica;sans-serif" w:hAnsi="Helvetica;sans-serif"/>
          <w:sz w:val="18"/>
        </w:rPr>
        <w:t>(Unaudited)</w:t>
      </w:r>
    </w:p>
    <w:tbl>
      <w:tblPr>
        <w:tblW w:w="10205" w:type="dxa"/>
        <w:jc w:val="center"/>
        <w:tblInd w:w="0" w:type="dxa"/>
        <w:tblLayout w:type="fixed"/>
        <w:tblCellMar>
          <w:top w:w="0" w:type="dxa"/>
          <w:left w:w="0" w:type="dxa"/>
          <w:bottom w:w="0" w:type="dxa"/>
          <w:right w:w="0" w:type="dxa"/>
        </w:tblCellMar>
      </w:tblPr>
      <w:tblGrid>
        <w:gridCol w:w="4573"/>
        <w:gridCol w:w="346"/>
        <w:gridCol w:w="233"/>
        <w:gridCol w:w="848"/>
        <w:gridCol w:w="346"/>
        <w:gridCol w:w="205"/>
        <w:gridCol w:w="745"/>
        <w:gridCol w:w="226"/>
        <w:gridCol w:w="226"/>
        <w:gridCol w:w="233"/>
        <w:gridCol w:w="848"/>
        <w:gridCol w:w="365"/>
        <w:gridCol w:w="207"/>
        <w:gridCol w:w="804"/>
      </w:tblGrid>
      <w:tr>
        <w:trPr/>
        <w:tc>
          <w:tcPr>
            <w:tcW w:w="4573"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7955" cy="29210"/>
                      <wp:effectExtent l="0" t="0" r="0" b="0"/>
                      <wp:wrapNone/>
                      <wp:docPr id="22" name="Frame21"/>
                      <a:graphic xmlns:a="http://schemas.openxmlformats.org/drawingml/2006/main">
                        <a:graphicData uri="http://schemas.microsoft.com/office/word/2010/wordprocessingShape">
                          <wps:wsp>
                            <wps:cNvSpPr txBox="1"/>
                            <wps:spPr>
                              <a:xfrm>
                                <a:off x="0" y="0"/>
                                <a:ext cx="1479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38480" cy="29210"/>
                      <wp:effectExtent l="0" t="0" r="0" b="0"/>
                      <wp:wrapNone/>
                      <wp:docPr id="23" name="Frame22"/>
                      <a:graphic xmlns:a="http://schemas.openxmlformats.org/drawingml/2006/main">
                        <a:graphicData uri="http://schemas.microsoft.com/office/word/2010/wordprocessingShape">
                          <wps:wsp>
                            <wps:cNvSpPr txBox="1"/>
                            <wps:spPr>
                              <a:xfrm>
                                <a:off x="0" y="0"/>
                                <a:ext cx="5384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0175" cy="29210"/>
                      <wp:effectExtent l="0" t="0" r="0" b="0"/>
                      <wp:wrapNone/>
                      <wp:docPr id="25" name="Frame24"/>
                      <a:graphic xmlns:a="http://schemas.openxmlformats.org/drawingml/2006/main">
                        <a:graphicData uri="http://schemas.microsoft.com/office/word/2010/wordprocessingShape">
                          <wps:wsp>
                            <wps:cNvSpPr txBox="1"/>
                            <wps:spPr>
                              <a:xfrm>
                                <a:off x="0" y="0"/>
                                <a:ext cx="1301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73075" cy="29210"/>
                      <wp:effectExtent l="0" t="0" r="0" b="0"/>
                      <wp:wrapNone/>
                      <wp:docPr id="26" name="Frame25"/>
                      <a:graphic xmlns:a="http://schemas.openxmlformats.org/drawingml/2006/main">
                        <a:graphicData uri="http://schemas.microsoft.com/office/word/2010/wordprocessingShape">
                          <wps:wsp>
                            <wps:cNvSpPr txBox="1"/>
                            <wps:spPr>
                              <a:xfrm>
                                <a:off x="0" y="0"/>
                                <a:ext cx="4730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3510" cy="175260"/>
                      <wp:effectExtent l="0" t="0" r="0" b="0"/>
                      <wp:wrapNone/>
                      <wp:docPr id="27"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3510" cy="175260"/>
                      <wp:effectExtent l="0" t="0" r="0" b="0"/>
                      <wp:wrapNone/>
                      <wp:docPr id="28" name="Frame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7955" cy="29210"/>
                      <wp:effectExtent l="0" t="0" r="0" b="0"/>
                      <wp:wrapNone/>
                      <wp:docPr id="29" name="Frame28"/>
                      <a:graphic xmlns:a="http://schemas.openxmlformats.org/drawingml/2006/main">
                        <a:graphicData uri="http://schemas.microsoft.com/office/word/2010/wordprocessingShape">
                          <wps:wsp>
                            <wps:cNvSpPr txBox="1"/>
                            <wps:spPr>
                              <a:xfrm>
                                <a:off x="0" y="0"/>
                                <a:ext cx="1479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38480" cy="29210"/>
                      <wp:effectExtent l="0" t="0" r="0" b="0"/>
                      <wp:wrapNone/>
                      <wp:docPr id="30" name="Frame29"/>
                      <a:graphic xmlns:a="http://schemas.openxmlformats.org/drawingml/2006/main">
                        <a:graphicData uri="http://schemas.microsoft.com/office/word/2010/wordprocessingShape">
                          <wps:wsp>
                            <wps:cNvSpPr txBox="1"/>
                            <wps:spPr>
                              <a:xfrm>
                                <a:off x="0" y="0"/>
                                <a:ext cx="5384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1775" cy="175260"/>
                      <wp:effectExtent l="0" t="0" r="0" b="0"/>
                      <wp:wrapNone/>
                      <wp:docPr id="31" name="Frame30"/>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1445" cy="29210"/>
                      <wp:effectExtent l="0" t="0" r="0" b="0"/>
                      <wp:wrapNone/>
                      <wp:docPr id="32" name="Frame31"/>
                      <a:graphic xmlns:a="http://schemas.openxmlformats.org/drawingml/2006/main">
                        <a:graphicData uri="http://schemas.microsoft.com/office/word/2010/wordprocessingShape">
                          <wps:wsp>
                            <wps:cNvSpPr txBox="1"/>
                            <wps:spPr>
                              <a:xfrm>
                                <a:off x="0" y="0"/>
                                <a:ext cx="1314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10540" cy="29210"/>
                      <wp:effectExtent l="0" t="0" r="0" b="0"/>
                      <wp:wrapNone/>
                      <wp:docPr id="33" name="Frame32"/>
                      <a:graphic xmlns:a="http://schemas.openxmlformats.org/drawingml/2006/main">
                        <a:graphicData uri="http://schemas.microsoft.com/office/word/2010/wordprocessingShape">
                          <wps:wsp>
                            <wps:cNvSpPr txBox="1"/>
                            <wps:spPr>
                              <a:xfrm>
                                <a:off x="0" y="0"/>
                                <a:ext cx="51054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573"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377" w:type="dxa"/>
            <w:gridSpan w:val="5"/>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Successor</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457" w:type="dxa"/>
            <w:gridSpan w:val="5"/>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Predecessor</w:t>
            </w:r>
          </w:p>
        </w:tc>
      </w:tr>
      <w:tr>
        <w:trPr/>
        <w:tc>
          <w:tcPr>
            <w:tcW w:w="4573"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377" w:type="dxa"/>
            <w:gridSpan w:val="5"/>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Consolidated</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457" w:type="dxa"/>
            <w:gridSpan w:val="5"/>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Combined and Consolidated</w:t>
            </w:r>
          </w:p>
        </w:tc>
      </w:tr>
      <w:tr>
        <w:trPr/>
        <w:tc>
          <w:tcPr>
            <w:tcW w:w="4573"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1081" w:type="dxa"/>
            <w:gridSpan w:val="2"/>
            <w:tcBorders/>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Three Months</w:t>
              <w:br/>
              <w:t>Ended</w:t>
              <w:br/>
              <w:t>June 30, </w:t>
            </w:r>
          </w:p>
        </w:tc>
        <w:tc>
          <w:tcPr>
            <w:tcW w:w="346" w:type="dxa"/>
            <w:tcBorders/>
            <w:vAlign w:val="center"/>
          </w:tcPr>
          <w:p>
            <w:pPr>
              <w:pStyle w:val="TableContents"/>
              <w:bidi w:val="0"/>
              <w:spacing w:lineRule="auto" w:line="328" w:before="0" w:after="0"/>
              <w:ind w:left="0" w:right="0" w:hanging="0"/>
              <w:jc w:val="left"/>
              <w:rPr/>
            </w:pPr>
            <w:r>
              <w:rPr/>
              <w:t>  ​ ​ ​</w:t>
            </w:r>
          </w:p>
        </w:tc>
        <w:tc>
          <w:tcPr>
            <w:tcW w:w="950" w:type="dxa"/>
            <w:gridSpan w:val="2"/>
            <w:tcBorders/>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Six Months</w:t>
              <w:br/>
              <w:t>Ended</w:t>
              <w:br/>
              <w:t>June 30, </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1081" w:type="dxa"/>
            <w:gridSpan w:val="2"/>
            <w:tcBorders/>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Three Months</w:t>
              <w:br/>
              <w:t>Ended</w:t>
              <w:br/>
              <w:t>June 30, </w:t>
            </w:r>
          </w:p>
        </w:tc>
        <w:tc>
          <w:tcPr>
            <w:tcW w:w="365" w:type="dxa"/>
            <w:tcBorders/>
            <w:vAlign w:val="center"/>
          </w:tcPr>
          <w:p>
            <w:pPr>
              <w:pStyle w:val="TableContents"/>
              <w:bidi w:val="0"/>
              <w:spacing w:lineRule="auto" w:line="328" w:before="0" w:after="0"/>
              <w:ind w:left="0" w:right="0" w:hanging="0"/>
              <w:jc w:val="left"/>
              <w:rPr/>
            </w:pPr>
            <w:r>
              <w:rPr/>
              <w:t>  ​ ​ ​</w:t>
            </w:r>
          </w:p>
        </w:tc>
        <w:tc>
          <w:tcPr>
            <w:tcW w:w="1011" w:type="dxa"/>
            <w:gridSpan w:val="2"/>
            <w:tcBorders/>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Six Months</w:t>
              <w:br/>
              <w:t>Ended</w:t>
              <w:br/>
              <w:t>June 30, </w:t>
            </w:r>
          </w:p>
        </w:tc>
      </w:tr>
      <w:tr>
        <w:trPr/>
        <w:tc>
          <w:tcPr>
            <w:tcW w:w="4573"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lineRule="auto" w:line="328" w:before="0" w:after="0"/>
              <w:ind w:left="0" w:right="0" w:hanging="0"/>
              <w:jc w:val="left"/>
              <w:rPr/>
            </w:pPr>
            <w:r>
              <w:rPr/>
              <w:t>  ​ ​ ​</w:t>
            </w:r>
          </w:p>
        </w:tc>
        <w:tc>
          <w:tcPr>
            <w:tcW w:w="950"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2026</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2025</w:t>
            </w:r>
          </w:p>
        </w:tc>
        <w:tc>
          <w:tcPr>
            <w:tcW w:w="365" w:type="dxa"/>
            <w:tcBorders/>
            <w:vAlign w:val="center"/>
          </w:tcPr>
          <w:p>
            <w:pPr>
              <w:pStyle w:val="TableContents"/>
              <w:bidi w:val="0"/>
              <w:spacing w:lineRule="auto" w:line="328" w:before="0" w:after="0"/>
              <w:ind w:left="0" w:right="0" w:hanging="0"/>
              <w:jc w:val="left"/>
              <w:rPr/>
            </w:pPr>
            <w:r>
              <w:rPr/>
              <w:t>  ​ ​ ​</w:t>
            </w:r>
          </w:p>
        </w:tc>
        <w:tc>
          <w:tcPr>
            <w:tcW w:w="1011" w:type="dxa"/>
            <w:gridSpan w:val="2"/>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Revenue</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rFonts w:ascii="Helvetica;sans-serif" w:hAnsi="Helvetica;sans-serif"/>
                <w:sz w:val="16"/>
              </w:rPr>
            </w:pPr>
            <w:r>
              <w:rPr>
                <w:rFonts w:ascii="Helvetica;sans-serif" w:hAnsi="Helvetica;sans-serif"/>
                <w:sz w:val="16"/>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191,311</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05" w:type="dxa"/>
            <w:tcBorders/>
            <w:shd w:fill="CCEEFF" w:val="clear"/>
            <w:vAlign w:val="center"/>
          </w:tcPr>
          <w:p>
            <w:pPr>
              <w:pStyle w:val="TableContents"/>
              <w:bidi w:val="0"/>
              <w:spacing w:lineRule="auto" w:line="328" w:before="0" w:after="0"/>
              <w:ind w:left="0" w:right="0" w:hanging="0"/>
              <w:jc w:val="left"/>
              <w:rPr>
                <w:rFonts w:ascii="Helvetica;sans-serif" w:hAnsi="Helvetica;sans-serif"/>
                <w:sz w:val="16"/>
              </w:rPr>
            </w:pPr>
            <w:r>
              <w:rPr>
                <w:rFonts w:ascii="Helvetica;sans-serif" w:hAnsi="Helvetica;sans-serif"/>
                <w:sz w:val="16"/>
              </w:rPr>
              <w:t>$</w:t>
            </w:r>
          </w:p>
        </w:tc>
        <w:tc>
          <w:tcPr>
            <w:tcW w:w="745"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388,396</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rFonts w:ascii="Helvetica;sans-serif" w:hAnsi="Helvetica;sans-serif"/>
                <w:sz w:val="16"/>
              </w:rPr>
            </w:pPr>
            <w:r>
              <w:rPr>
                <w:rFonts w:ascii="Helvetica;sans-serif" w:hAnsi="Helvetica;sans-serif"/>
                <w:sz w:val="16"/>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182,164</w:t>
            </w:r>
          </w:p>
        </w:tc>
        <w:tc>
          <w:tcPr>
            <w:tcW w:w="365" w:type="dxa"/>
            <w:tcBorders/>
            <w:shd w:fill="CCEEFF" w:val="clear"/>
            <w:vAlign w:val="center"/>
          </w:tcPr>
          <w:p>
            <w:pPr>
              <w:pStyle w:val="TableContents"/>
              <w:bidi w:val="0"/>
              <w:spacing w:lineRule="auto" w:line="328" w:before="0" w:after="0"/>
              <w:ind w:left="0" w:right="0" w:hanging="0"/>
              <w:jc w:val="left"/>
              <w:rPr/>
            </w:pPr>
            <w:r>
              <w:rPr/>
              <w:t>​</w:t>
            </w:r>
          </w:p>
        </w:tc>
        <w:tc>
          <w:tcPr>
            <w:tcW w:w="207" w:type="dxa"/>
            <w:tcBorders/>
            <w:shd w:fill="CCEEFF" w:val="clear"/>
            <w:vAlign w:val="center"/>
          </w:tcPr>
          <w:p>
            <w:pPr>
              <w:pStyle w:val="TableContents"/>
              <w:bidi w:val="0"/>
              <w:spacing w:lineRule="auto" w:line="328" w:before="0" w:after="0"/>
              <w:ind w:left="0" w:right="0" w:hanging="0"/>
              <w:jc w:val="left"/>
              <w:rPr>
                <w:rFonts w:ascii="Helvetica;sans-serif" w:hAnsi="Helvetica;sans-serif"/>
                <w:sz w:val="16"/>
              </w:rPr>
            </w:pPr>
            <w:r>
              <w:rPr>
                <w:rFonts w:ascii="Helvetica;sans-serif" w:hAnsi="Helvetica;sans-serif"/>
                <w:sz w:val="16"/>
              </w:rPr>
              <w:t>$</w:t>
            </w:r>
          </w:p>
        </w:tc>
        <w:tc>
          <w:tcPr>
            <w:tcW w:w="804"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372,660</w:t>
            </w:r>
          </w:p>
        </w:tc>
      </w:tr>
      <w:tr>
        <w:trPr/>
        <w:tc>
          <w:tcPr>
            <w:tcW w:w="4573" w:type="dxa"/>
            <w:tcBorders/>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Related party revenue</w:t>
            </w:r>
          </w:p>
        </w:tc>
        <w:tc>
          <w:tcPr>
            <w:tcW w:w="346" w:type="dxa"/>
            <w:tcBorders/>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w:t>
            </w:r>
          </w:p>
        </w:tc>
        <w:tc>
          <w:tcPr>
            <w:tcW w:w="848"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05" w:type="dxa"/>
            <w:tcBorders/>
            <w:vAlign w:val="center"/>
          </w:tcPr>
          <w:p>
            <w:pPr>
              <w:pStyle w:val="TableContents"/>
              <w:bidi w:val="0"/>
              <w:spacing w:lineRule="auto" w:line="328" w:before="0" w:after="0"/>
              <w:ind w:left="0" w:right="0" w:hanging="0"/>
              <w:jc w:val="left"/>
              <w:rPr/>
            </w:pPr>
            <w:r>
              <w:rPr/>
              <w:t>​</w:t>
            </w:r>
          </w:p>
        </w:tc>
        <w:tc>
          <w:tcPr>
            <w:tcW w:w="745" w:type="dxa"/>
            <w:tcBorders/>
            <w:vAlign w:val="center"/>
          </w:tcPr>
          <w:p>
            <w:pPr>
              <w:pStyle w:val="TableContents"/>
              <w:bidi w:val="0"/>
              <w:spacing w:lineRule="auto" w:line="328"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w:t>
            </w:r>
          </w:p>
        </w:tc>
        <w:tc>
          <w:tcPr>
            <w:tcW w:w="848" w:type="dxa"/>
            <w:tcBorders/>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548</w:t>
            </w:r>
          </w:p>
        </w:tc>
        <w:tc>
          <w:tcPr>
            <w:tcW w:w="365" w:type="dxa"/>
            <w:tcBorders/>
            <w:vAlign w:val="center"/>
          </w:tcPr>
          <w:p>
            <w:pPr>
              <w:pStyle w:val="TableContents"/>
              <w:bidi w:val="0"/>
              <w:spacing w:lineRule="auto" w:line="328" w:before="0" w:after="0"/>
              <w:ind w:left="0" w:right="0" w:hanging="0"/>
              <w:jc w:val="left"/>
              <w:rPr/>
            </w:pPr>
            <w:r>
              <w:rPr/>
              <w:t>​</w:t>
            </w:r>
          </w:p>
        </w:tc>
        <w:tc>
          <w:tcPr>
            <w:tcW w:w="207" w:type="dxa"/>
            <w:tcBorders/>
            <w:vAlign w:val="center"/>
          </w:tcPr>
          <w:p>
            <w:pPr>
              <w:pStyle w:val="TableContents"/>
              <w:bidi w:val="0"/>
              <w:spacing w:lineRule="auto" w:line="328" w:before="0" w:after="0"/>
              <w:ind w:left="0" w:right="0" w:hanging="0"/>
              <w:jc w:val="left"/>
              <w:rPr/>
            </w:pPr>
            <w:r>
              <w:rPr/>
              <w:t>​</w:t>
            </w:r>
          </w:p>
        </w:tc>
        <w:tc>
          <w:tcPr>
            <w:tcW w:w="804" w:type="dxa"/>
            <w:tcBorders/>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2,032</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Cost of revenue (exclusive of depreciation and amortization)</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 </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150,155</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05" w:type="dxa"/>
            <w:tcBorders/>
            <w:shd w:fill="CCEEFF" w:val="clear"/>
            <w:vAlign w:val="center"/>
          </w:tcPr>
          <w:p>
            <w:pPr>
              <w:pStyle w:val="TableContents"/>
              <w:bidi w:val="0"/>
              <w:spacing w:lineRule="auto" w:line="328" w:before="0" w:after="0"/>
              <w:ind w:left="0" w:right="0" w:hanging="0"/>
              <w:jc w:val="left"/>
              <w:rPr/>
            </w:pPr>
            <w:r>
              <w:rPr/>
              <w:t> </w:t>
            </w:r>
          </w:p>
        </w:tc>
        <w:tc>
          <w:tcPr>
            <w:tcW w:w="745"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302,052</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145,052</w:t>
            </w:r>
          </w:p>
        </w:tc>
        <w:tc>
          <w:tcPr>
            <w:tcW w:w="365" w:type="dxa"/>
            <w:tcBorders/>
            <w:shd w:fill="CCEEFF" w:val="clear"/>
            <w:vAlign w:val="center"/>
          </w:tcPr>
          <w:p>
            <w:pPr>
              <w:pStyle w:val="TableContents"/>
              <w:bidi w:val="0"/>
              <w:spacing w:lineRule="auto" w:line="328" w:before="0" w:after="0"/>
              <w:ind w:left="0" w:right="0" w:hanging="0"/>
              <w:jc w:val="left"/>
              <w:rPr/>
            </w:pPr>
            <w:r>
              <w:rPr/>
              <w:t>​</w:t>
            </w:r>
          </w:p>
        </w:tc>
        <w:tc>
          <w:tcPr>
            <w:tcW w:w="207" w:type="dxa"/>
            <w:tcBorders/>
            <w:shd w:fill="CCEEFF" w:val="clear"/>
            <w:vAlign w:val="center"/>
          </w:tcPr>
          <w:p>
            <w:pPr>
              <w:pStyle w:val="TableContents"/>
              <w:bidi w:val="0"/>
              <w:spacing w:lineRule="auto" w:line="328" w:before="0" w:after="0"/>
              <w:ind w:left="0" w:right="0" w:hanging="0"/>
              <w:jc w:val="left"/>
              <w:rPr/>
            </w:pPr>
            <w:r>
              <w:rPr/>
              <w:t> </w:t>
            </w:r>
          </w:p>
        </w:tc>
        <w:tc>
          <w:tcPr>
            <w:tcW w:w="804"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295,697</w:t>
            </w:r>
          </w:p>
        </w:tc>
      </w:tr>
      <w:tr>
        <w:trPr/>
        <w:tc>
          <w:tcPr>
            <w:tcW w:w="4573" w:type="dxa"/>
            <w:tcBorders/>
            <w:vAlign w:val="center"/>
          </w:tcPr>
          <w:p>
            <w:pPr>
              <w:pStyle w:val="TableContents"/>
              <w:bidi w:val="0"/>
              <w:spacing w:lineRule="auto" w:line="328" w:before="0" w:after="0"/>
              <w:ind w:left="0" w:right="0" w:hanging="0"/>
              <w:jc w:val="left"/>
              <w:rPr>
                <w:rFonts w:ascii="Helvetica;sans-serif" w:hAnsi="Helvetica;sans-serif"/>
                <w:sz w:val="16"/>
              </w:rPr>
            </w:pPr>
            <w:r>
              <w:rPr>
                <w:rFonts w:ascii="Helvetica;sans-serif" w:hAnsi="Helvetica;sans-serif"/>
                <w:sz w:val="16"/>
              </w:rPr>
              <w:t>Selling, general and administrative expenses (exclusive of depreciation and amortization)</w:t>
            </w:r>
          </w:p>
        </w:tc>
        <w:tc>
          <w:tcPr>
            <w:tcW w:w="346" w:type="dxa"/>
            <w:tcBorders/>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 </w:t>
            </w:r>
          </w:p>
        </w:tc>
        <w:tc>
          <w:tcPr>
            <w:tcW w:w="848" w:type="dxa"/>
            <w:tcBorders/>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27,936</w:t>
            </w:r>
          </w:p>
        </w:tc>
        <w:tc>
          <w:tcPr>
            <w:tcW w:w="346" w:type="dxa"/>
            <w:tcBorders/>
            <w:vAlign w:val="center"/>
          </w:tcPr>
          <w:p>
            <w:pPr>
              <w:pStyle w:val="TableContents"/>
              <w:bidi w:val="0"/>
              <w:spacing w:lineRule="auto" w:line="328" w:before="0" w:after="0"/>
              <w:ind w:left="0" w:right="0" w:hanging="0"/>
              <w:jc w:val="left"/>
              <w:rPr/>
            </w:pPr>
            <w:r>
              <w:rPr/>
              <w:t>​</w:t>
            </w:r>
          </w:p>
        </w:tc>
        <w:tc>
          <w:tcPr>
            <w:tcW w:w="205" w:type="dxa"/>
            <w:tcBorders/>
            <w:vAlign w:val="center"/>
          </w:tcPr>
          <w:p>
            <w:pPr>
              <w:pStyle w:val="TableContents"/>
              <w:bidi w:val="0"/>
              <w:spacing w:lineRule="auto" w:line="328" w:before="0" w:after="0"/>
              <w:ind w:left="0" w:right="0" w:hanging="0"/>
              <w:jc w:val="left"/>
              <w:rPr/>
            </w:pPr>
            <w:r>
              <w:rPr/>
              <w:t> </w:t>
            </w:r>
          </w:p>
        </w:tc>
        <w:tc>
          <w:tcPr>
            <w:tcW w:w="745" w:type="dxa"/>
            <w:tcBorders/>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70,751</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w:t>
            </w:r>
          </w:p>
        </w:tc>
        <w:tc>
          <w:tcPr>
            <w:tcW w:w="848" w:type="dxa"/>
            <w:tcBorders/>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20,719</w:t>
            </w:r>
          </w:p>
        </w:tc>
        <w:tc>
          <w:tcPr>
            <w:tcW w:w="365" w:type="dxa"/>
            <w:tcBorders/>
            <w:vAlign w:val="center"/>
          </w:tcPr>
          <w:p>
            <w:pPr>
              <w:pStyle w:val="TableContents"/>
              <w:bidi w:val="0"/>
              <w:spacing w:lineRule="auto" w:line="328" w:before="0" w:after="0"/>
              <w:ind w:left="0" w:right="0" w:hanging="0"/>
              <w:jc w:val="left"/>
              <w:rPr/>
            </w:pPr>
            <w:r>
              <w:rPr/>
              <w:t>​</w:t>
            </w:r>
          </w:p>
        </w:tc>
        <w:tc>
          <w:tcPr>
            <w:tcW w:w="207" w:type="dxa"/>
            <w:tcBorders/>
            <w:vAlign w:val="center"/>
          </w:tcPr>
          <w:p>
            <w:pPr>
              <w:pStyle w:val="TableContents"/>
              <w:bidi w:val="0"/>
              <w:spacing w:lineRule="auto" w:line="328" w:before="0" w:after="0"/>
              <w:ind w:left="0" w:right="0" w:hanging="0"/>
              <w:jc w:val="left"/>
              <w:rPr/>
            </w:pPr>
            <w:r>
              <w:rPr/>
              <w:t>​</w:t>
            </w:r>
          </w:p>
        </w:tc>
        <w:tc>
          <w:tcPr>
            <w:tcW w:w="804" w:type="dxa"/>
            <w:tcBorders/>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42,980</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Depreciation and amortization</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 </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15,268</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05" w:type="dxa"/>
            <w:tcBorders/>
            <w:shd w:fill="CCEEFF" w:val="clear"/>
            <w:vAlign w:val="center"/>
          </w:tcPr>
          <w:p>
            <w:pPr>
              <w:pStyle w:val="TableContents"/>
              <w:bidi w:val="0"/>
              <w:spacing w:lineRule="auto" w:line="328" w:before="0" w:after="0"/>
              <w:ind w:left="0" w:right="0" w:hanging="0"/>
              <w:jc w:val="left"/>
              <w:rPr/>
            </w:pPr>
            <w:r>
              <w:rPr/>
              <w:t> </w:t>
            </w:r>
          </w:p>
        </w:tc>
        <w:tc>
          <w:tcPr>
            <w:tcW w:w="745"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30,117</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8,582</w:t>
            </w:r>
          </w:p>
        </w:tc>
        <w:tc>
          <w:tcPr>
            <w:tcW w:w="365" w:type="dxa"/>
            <w:tcBorders/>
            <w:shd w:fill="CCEEFF" w:val="clear"/>
            <w:vAlign w:val="center"/>
          </w:tcPr>
          <w:p>
            <w:pPr>
              <w:pStyle w:val="TableContents"/>
              <w:bidi w:val="0"/>
              <w:spacing w:lineRule="auto" w:line="328" w:before="0" w:after="0"/>
              <w:ind w:left="0" w:right="0" w:hanging="0"/>
              <w:jc w:val="left"/>
              <w:rPr/>
            </w:pPr>
            <w:r>
              <w:rPr/>
              <w:t>​</w:t>
            </w:r>
          </w:p>
        </w:tc>
        <w:tc>
          <w:tcPr>
            <w:tcW w:w="207" w:type="dxa"/>
            <w:tcBorders/>
            <w:shd w:fill="CCEEFF" w:val="clear"/>
            <w:vAlign w:val="center"/>
          </w:tcPr>
          <w:p>
            <w:pPr>
              <w:pStyle w:val="TableContents"/>
              <w:bidi w:val="0"/>
              <w:spacing w:lineRule="auto" w:line="328" w:before="0" w:after="0"/>
              <w:ind w:left="0" w:right="0" w:hanging="0"/>
              <w:jc w:val="left"/>
              <w:rPr/>
            </w:pPr>
            <w:r>
              <w:rPr/>
              <w:t>​</w:t>
            </w:r>
          </w:p>
        </w:tc>
        <w:tc>
          <w:tcPr>
            <w:tcW w:w="804"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19,120</w:t>
            </w:r>
          </w:p>
        </w:tc>
      </w:tr>
      <w:tr>
        <w:trPr/>
        <w:tc>
          <w:tcPr>
            <w:tcW w:w="4573" w:type="dxa"/>
            <w:tcBorders/>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Related party expense, net</w:t>
            </w:r>
          </w:p>
        </w:tc>
        <w:tc>
          <w:tcPr>
            <w:tcW w:w="346" w:type="dxa"/>
            <w:tcBorders/>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1,674</w:t>
            </w:r>
          </w:p>
        </w:tc>
        <w:tc>
          <w:tcPr>
            <w:tcW w:w="346" w:type="dxa"/>
            <w:tcBorders/>
            <w:vAlign w:val="center"/>
          </w:tcPr>
          <w:p>
            <w:pPr>
              <w:pStyle w:val="TableContents"/>
              <w:bidi w:val="0"/>
              <w:spacing w:lineRule="auto" w:line="328"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4,280</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2,793</w:t>
            </w:r>
          </w:p>
        </w:tc>
        <w:tc>
          <w:tcPr>
            <w:tcW w:w="365" w:type="dxa"/>
            <w:tcBorders/>
            <w:vAlign w:val="center"/>
          </w:tcPr>
          <w:p>
            <w:pPr>
              <w:pStyle w:val="TableContents"/>
              <w:bidi w:val="0"/>
              <w:spacing w:lineRule="auto" w:line="328"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5,346</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b/>
                <w:sz w:val="16"/>
              </w:rPr>
            </w:pPr>
            <w:r>
              <w:rPr>
                <w:rFonts w:ascii="Helvetica;sans-serif" w:hAnsi="Helvetica;sans-serif"/>
                <w:b/>
                <w:sz w:val="16"/>
              </w:rPr>
              <w:t>Operating profit (loss)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 </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(3,722)</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05"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 </w:t>
            </w:r>
          </w:p>
        </w:tc>
        <w:tc>
          <w:tcPr>
            <w:tcW w:w="745"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(18,804)</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5,566</w:t>
            </w:r>
          </w:p>
        </w:tc>
        <w:tc>
          <w:tcPr>
            <w:tcW w:w="365" w:type="dxa"/>
            <w:tcBorders/>
            <w:shd w:fill="CCEEFF" w:val="clear"/>
            <w:vAlign w:val="center"/>
          </w:tcPr>
          <w:p>
            <w:pPr>
              <w:pStyle w:val="TableContents"/>
              <w:bidi w:val="0"/>
              <w:spacing w:lineRule="auto" w:line="328" w:before="0" w:after="0"/>
              <w:ind w:left="0" w:right="0" w:hanging="0"/>
              <w:jc w:val="left"/>
              <w:rPr/>
            </w:pPr>
            <w:r>
              <w:rPr/>
              <w:t>​</w:t>
            </w:r>
          </w:p>
        </w:tc>
        <w:tc>
          <w:tcPr>
            <w:tcW w:w="207" w:type="dxa"/>
            <w:tcBorders/>
            <w:shd w:fill="CCEEFF" w:val="clear"/>
            <w:vAlign w:val="center"/>
          </w:tcPr>
          <w:p>
            <w:pPr>
              <w:pStyle w:val="TableContents"/>
              <w:bidi w:val="0"/>
              <w:spacing w:lineRule="auto" w:line="328" w:before="0" w:after="0"/>
              <w:ind w:left="0" w:right="0" w:hanging="0"/>
              <w:jc w:val="left"/>
              <w:rPr/>
            </w:pPr>
            <w:r>
              <w:rPr/>
              <w:t>​</w:t>
            </w:r>
          </w:p>
        </w:tc>
        <w:tc>
          <w:tcPr>
            <w:tcW w:w="804"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11,549</w:t>
            </w:r>
          </w:p>
        </w:tc>
      </w:tr>
      <w:tr>
        <w:trPr/>
        <w:tc>
          <w:tcPr>
            <w:tcW w:w="4573" w:type="dxa"/>
            <w:tcBorders/>
            <w:vAlign w:val="center"/>
          </w:tcPr>
          <w:p>
            <w:pPr>
              <w:pStyle w:val="TableContents"/>
              <w:pBdr/>
              <w:bidi w:val="0"/>
              <w:spacing w:lineRule="auto" w:line="328" w:before="0" w:after="0"/>
              <w:ind w:left="0" w:right="0" w:hanging="0"/>
              <w:jc w:val="left"/>
              <w:rPr>
                <w:rFonts w:ascii="Helvetica;sans-serif" w:hAnsi="Helvetica;sans-serif"/>
                <w:b/>
                <w:sz w:val="16"/>
              </w:rPr>
            </w:pPr>
            <w:r>
              <w:rPr>
                <w:rFonts w:ascii="Helvetica;sans-serif" w:hAnsi="Helvetica;sans-serif"/>
                <w:b/>
                <w:sz w:val="16"/>
              </w:rPr>
              <w:t>Other expense (income), net:</w:t>
            </w:r>
          </w:p>
        </w:tc>
        <w:tc>
          <w:tcPr>
            <w:tcW w:w="346" w:type="dxa"/>
            <w:tcBorders/>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 </w:t>
            </w:r>
          </w:p>
        </w:tc>
        <w:tc>
          <w:tcPr>
            <w:tcW w:w="848"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05" w:type="dxa"/>
            <w:tcBorders/>
            <w:vAlign w:val="center"/>
          </w:tcPr>
          <w:p>
            <w:pPr>
              <w:pStyle w:val="TableContents"/>
              <w:bidi w:val="0"/>
              <w:spacing w:lineRule="auto" w:line="328" w:before="0" w:after="0"/>
              <w:ind w:left="0" w:right="0" w:hanging="0"/>
              <w:jc w:val="left"/>
              <w:rPr/>
            </w:pPr>
            <w:r>
              <w:rPr/>
              <w:t> </w:t>
            </w:r>
          </w:p>
        </w:tc>
        <w:tc>
          <w:tcPr>
            <w:tcW w:w="745" w:type="dxa"/>
            <w:tcBorders/>
            <w:vAlign w:val="center"/>
          </w:tcPr>
          <w:p>
            <w:pPr>
              <w:pStyle w:val="TableContents"/>
              <w:bidi w:val="0"/>
              <w:spacing w:lineRule="auto" w:line="328"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w:t>
            </w:r>
          </w:p>
        </w:tc>
        <w:tc>
          <w:tcPr>
            <w:tcW w:w="848" w:type="dxa"/>
            <w:tcBorders/>
            <w:vAlign w:val="center"/>
          </w:tcPr>
          <w:p>
            <w:pPr>
              <w:pStyle w:val="TableContents"/>
              <w:bidi w:val="0"/>
              <w:spacing w:lineRule="auto" w:line="328" w:before="0" w:after="0"/>
              <w:ind w:left="0" w:right="0" w:hanging="0"/>
              <w:jc w:val="right"/>
              <w:rPr/>
            </w:pPr>
            <w:r>
              <w:rPr/>
              <w:t>​</w:t>
            </w:r>
          </w:p>
        </w:tc>
        <w:tc>
          <w:tcPr>
            <w:tcW w:w="365" w:type="dxa"/>
            <w:tcBorders/>
            <w:vAlign w:val="center"/>
          </w:tcPr>
          <w:p>
            <w:pPr>
              <w:pStyle w:val="TableContents"/>
              <w:bidi w:val="0"/>
              <w:spacing w:lineRule="auto" w:line="328" w:before="0" w:after="0"/>
              <w:ind w:left="0" w:right="0" w:hanging="0"/>
              <w:jc w:val="left"/>
              <w:rPr/>
            </w:pPr>
            <w:r>
              <w:rPr/>
              <w:t>​</w:t>
            </w:r>
          </w:p>
        </w:tc>
        <w:tc>
          <w:tcPr>
            <w:tcW w:w="207" w:type="dxa"/>
            <w:tcBorders/>
            <w:vAlign w:val="center"/>
          </w:tcPr>
          <w:p>
            <w:pPr>
              <w:pStyle w:val="TableContents"/>
              <w:bidi w:val="0"/>
              <w:spacing w:lineRule="auto" w:line="328" w:before="0" w:after="0"/>
              <w:ind w:left="0" w:right="0" w:hanging="0"/>
              <w:jc w:val="left"/>
              <w:rPr/>
            </w:pPr>
            <w:r>
              <w:rPr/>
              <w:t>​</w:t>
            </w:r>
          </w:p>
        </w:tc>
        <w:tc>
          <w:tcPr>
            <w:tcW w:w="804" w:type="dxa"/>
            <w:tcBorders/>
            <w:vAlign w:val="center"/>
          </w:tcPr>
          <w:p>
            <w:pPr>
              <w:pStyle w:val="TableContents"/>
              <w:bidi w:val="0"/>
              <w:spacing w:lineRule="auto" w:line="328" w:before="0" w:after="0"/>
              <w:ind w:left="0" w:right="0" w:hanging="0"/>
              <w:jc w:val="right"/>
              <w:rPr/>
            </w:pPr>
            <w:r>
              <w:rPr/>
              <w:t>​</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Interest expense, net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 </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13,890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05" w:type="dxa"/>
            <w:tcBorders/>
            <w:shd w:fill="CCEEFF" w:val="clear"/>
            <w:vAlign w:val="center"/>
          </w:tcPr>
          <w:p>
            <w:pPr>
              <w:pStyle w:val="TableContents"/>
              <w:bidi w:val="0"/>
              <w:spacing w:lineRule="auto" w:line="328" w:before="0" w:after="0"/>
              <w:ind w:left="0" w:right="0" w:hanging="0"/>
              <w:jc w:val="left"/>
              <w:rPr/>
            </w:pPr>
            <w:r>
              <w:rPr/>
              <w:t> </w:t>
            </w:r>
          </w:p>
        </w:tc>
        <w:tc>
          <w:tcPr>
            <w:tcW w:w="745"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27,959</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46,942</w:t>
            </w:r>
          </w:p>
        </w:tc>
        <w:tc>
          <w:tcPr>
            <w:tcW w:w="365" w:type="dxa"/>
            <w:tcBorders/>
            <w:shd w:fill="CCEEFF" w:val="clear"/>
            <w:vAlign w:val="center"/>
          </w:tcPr>
          <w:p>
            <w:pPr>
              <w:pStyle w:val="TableContents"/>
              <w:bidi w:val="0"/>
              <w:spacing w:lineRule="auto" w:line="328" w:before="0" w:after="0"/>
              <w:ind w:left="0" w:right="0" w:hanging="0"/>
              <w:jc w:val="left"/>
              <w:rPr/>
            </w:pPr>
            <w:r>
              <w:rPr/>
              <w:t>​</w:t>
            </w:r>
          </w:p>
        </w:tc>
        <w:tc>
          <w:tcPr>
            <w:tcW w:w="207" w:type="dxa"/>
            <w:tcBorders/>
            <w:shd w:fill="CCEEFF" w:val="clear"/>
            <w:vAlign w:val="center"/>
          </w:tcPr>
          <w:p>
            <w:pPr>
              <w:pStyle w:val="TableContents"/>
              <w:bidi w:val="0"/>
              <w:spacing w:lineRule="auto" w:line="328" w:before="0" w:after="0"/>
              <w:ind w:left="0" w:right="0" w:hanging="0"/>
              <w:jc w:val="left"/>
              <w:rPr/>
            </w:pPr>
            <w:r>
              <w:rPr/>
              <w:t>​</w:t>
            </w:r>
          </w:p>
        </w:tc>
        <w:tc>
          <w:tcPr>
            <w:tcW w:w="804"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70,721</w:t>
            </w:r>
          </w:p>
        </w:tc>
      </w:tr>
      <w:tr>
        <w:trPr/>
        <w:tc>
          <w:tcPr>
            <w:tcW w:w="4573" w:type="dxa"/>
            <w:tcBorders/>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Debt modification and extinguishment costs, net</w:t>
            </w:r>
          </w:p>
        </w:tc>
        <w:tc>
          <w:tcPr>
            <w:tcW w:w="346" w:type="dxa"/>
            <w:tcBorders/>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 </w:t>
            </w:r>
          </w:p>
        </w:tc>
        <w:tc>
          <w:tcPr>
            <w:tcW w:w="848" w:type="dxa"/>
            <w:tcBorders/>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05" w:type="dxa"/>
            <w:tcBorders/>
            <w:vAlign w:val="center"/>
          </w:tcPr>
          <w:p>
            <w:pPr>
              <w:pStyle w:val="TableContents"/>
              <w:bidi w:val="0"/>
              <w:spacing w:lineRule="auto" w:line="328" w:before="0" w:after="0"/>
              <w:ind w:left="0" w:right="0" w:hanging="0"/>
              <w:jc w:val="left"/>
              <w:rPr/>
            </w:pPr>
            <w:r>
              <w:rPr/>
              <w:t> </w:t>
            </w:r>
          </w:p>
        </w:tc>
        <w:tc>
          <w:tcPr>
            <w:tcW w:w="745" w:type="dxa"/>
            <w:tcBorders/>
            <w:vAlign w:val="center"/>
          </w:tcPr>
          <w:p>
            <w:pPr>
              <w:pStyle w:val="TableContents"/>
              <w:bidi w:val="0"/>
              <w:spacing w:lineRule="auto" w:line="328"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w:t>
            </w:r>
          </w:p>
        </w:tc>
        <w:tc>
          <w:tcPr>
            <w:tcW w:w="848" w:type="dxa"/>
            <w:tcBorders/>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12</w:t>
            </w:r>
          </w:p>
        </w:tc>
        <w:tc>
          <w:tcPr>
            <w:tcW w:w="365" w:type="dxa"/>
            <w:tcBorders/>
            <w:vAlign w:val="center"/>
          </w:tcPr>
          <w:p>
            <w:pPr>
              <w:pStyle w:val="TableContents"/>
              <w:bidi w:val="0"/>
              <w:spacing w:lineRule="auto" w:line="328" w:before="0" w:after="0"/>
              <w:ind w:left="0" w:right="0" w:hanging="0"/>
              <w:jc w:val="left"/>
              <w:rPr/>
            </w:pPr>
            <w:r>
              <w:rPr/>
              <w:t>​</w:t>
            </w:r>
          </w:p>
        </w:tc>
        <w:tc>
          <w:tcPr>
            <w:tcW w:w="207" w:type="dxa"/>
            <w:tcBorders/>
            <w:vAlign w:val="center"/>
          </w:tcPr>
          <w:p>
            <w:pPr>
              <w:pStyle w:val="TableContents"/>
              <w:bidi w:val="0"/>
              <w:spacing w:lineRule="auto" w:line="328" w:before="0" w:after="0"/>
              <w:ind w:left="0" w:right="0" w:hanging="0"/>
              <w:jc w:val="left"/>
              <w:rPr/>
            </w:pPr>
            <w:r>
              <w:rPr/>
              <w:t>​</w:t>
            </w:r>
          </w:p>
        </w:tc>
        <w:tc>
          <w:tcPr>
            <w:tcW w:w="804" w:type="dxa"/>
            <w:tcBorders/>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121</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Sundry expense, net</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 </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1,409</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05" w:type="dxa"/>
            <w:tcBorders/>
            <w:shd w:fill="CCEEFF" w:val="clear"/>
            <w:vAlign w:val="center"/>
          </w:tcPr>
          <w:p>
            <w:pPr>
              <w:pStyle w:val="TableContents"/>
              <w:bidi w:val="0"/>
              <w:spacing w:lineRule="auto" w:line="328" w:before="0" w:after="0"/>
              <w:ind w:left="0" w:right="0" w:hanging="0"/>
              <w:jc w:val="left"/>
              <w:rPr/>
            </w:pPr>
            <w:r>
              <w:rPr/>
              <w:t> </w:t>
            </w:r>
          </w:p>
        </w:tc>
        <w:tc>
          <w:tcPr>
            <w:tcW w:w="745"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1,017</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693</w:t>
            </w:r>
          </w:p>
        </w:tc>
        <w:tc>
          <w:tcPr>
            <w:tcW w:w="365" w:type="dxa"/>
            <w:tcBorders/>
            <w:shd w:fill="CCEEFF" w:val="clear"/>
            <w:vAlign w:val="center"/>
          </w:tcPr>
          <w:p>
            <w:pPr>
              <w:pStyle w:val="TableContents"/>
              <w:bidi w:val="0"/>
              <w:spacing w:lineRule="auto" w:line="328" w:before="0" w:after="0"/>
              <w:ind w:left="0" w:right="0" w:hanging="0"/>
              <w:jc w:val="left"/>
              <w:rPr/>
            </w:pPr>
            <w:r>
              <w:rPr/>
              <w:t>​</w:t>
            </w:r>
          </w:p>
        </w:tc>
        <w:tc>
          <w:tcPr>
            <w:tcW w:w="207" w:type="dxa"/>
            <w:tcBorders/>
            <w:shd w:fill="CCEEFF" w:val="clear"/>
            <w:vAlign w:val="center"/>
          </w:tcPr>
          <w:p>
            <w:pPr>
              <w:pStyle w:val="TableContents"/>
              <w:bidi w:val="0"/>
              <w:spacing w:lineRule="auto" w:line="328" w:before="0" w:after="0"/>
              <w:ind w:left="0" w:right="0" w:hanging="0"/>
              <w:jc w:val="left"/>
              <w:rPr/>
            </w:pPr>
            <w:r>
              <w:rPr/>
              <w:t>​</w:t>
            </w:r>
          </w:p>
        </w:tc>
        <w:tc>
          <w:tcPr>
            <w:tcW w:w="804"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2,005</w:t>
            </w:r>
          </w:p>
        </w:tc>
      </w:tr>
      <w:tr>
        <w:trPr/>
        <w:tc>
          <w:tcPr>
            <w:tcW w:w="4573" w:type="dxa"/>
            <w:tcBorders/>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Other income, net</w:t>
            </w:r>
          </w:p>
        </w:tc>
        <w:tc>
          <w:tcPr>
            <w:tcW w:w="346" w:type="dxa"/>
            <w:tcBorders/>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(561)</w:t>
            </w:r>
          </w:p>
        </w:tc>
        <w:tc>
          <w:tcPr>
            <w:tcW w:w="346" w:type="dxa"/>
            <w:tcBorders/>
            <w:vAlign w:val="center"/>
          </w:tcPr>
          <w:p>
            <w:pPr>
              <w:pStyle w:val="TableContents"/>
              <w:bidi w:val="0"/>
              <w:spacing w:lineRule="auto" w:line="328"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(1,122)</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(25)</w:t>
            </w:r>
          </w:p>
        </w:tc>
        <w:tc>
          <w:tcPr>
            <w:tcW w:w="365" w:type="dxa"/>
            <w:tcBorders/>
            <w:vAlign w:val="center"/>
          </w:tcPr>
          <w:p>
            <w:pPr>
              <w:pStyle w:val="TableContents"/>
              <w:bidi w:val="0"/>
              <w:spacing w:lineRule="auto" w:line="328"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(48)</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b/>
                <w:sz w:val="16"/>
              </w:rPr>
            </w:pPr>
            <w:r>
              <w:rPr>
                <w:rFonts w:ascii="Helvetica;sans-serif" w:hAnsi="Helvetica;sans-serif"/>
                <w:b/>
                <w:sz w:val="16"/>
              </w:rPr>
              <w:t>Loss before reorganization items and income taxes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 </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(18,460)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05"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 </w:t>
            </w:r>
          </w:p>
        </w:tc>
        <w:tc>
          <w:tcPr>
            <w:tcW w:w="745"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(46,658)</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(42,056)</w:t>
            </w:r>
          </w:p>
        </w:tc>
        <w:tc>
          <w:tcPr>
            <w:tcW w:w="365" w:type="dxa"/>
            <w:tcBorders/>
            <w:shd w:fill="CCEEFF" w:val="clear"/>
            <w:vAlign w:val="center"/>
          </w:tcPr>
          <w:p>
            <w:pPr>
              <w:pStyle w:val="TableContents"/>
              <w:bidi w:val="0"/>
              <w:spacing w:lineRule="auto" w:line="328" w:before="0" w:after="0"/>
              <w:ind w:left="0" w:right="0" w:hanging="0"/>
              <w:jc w:val="left"/>
              <w:rPr/>
            </w:pPr>
            <w:r>
              <w:rPr/>
              <w:t>​</w:t>
            </w:r>
          </w:p>
        </w:tc>
        <w:tc>
          <w:tcPr>
            <w:tcW w:w="207" w:type="dxa"/>
            <w:tcBorders/>
            <w:shd w:fill="CCEEFF" w:val="clear"/>
            <w:vAlign w:val="center"/>
          </w:tcPr>
          <w:p>
            <w:pPr>
              <w:pStyle w:val="TableContents"/>
              <w:bidi w:val="0"/>
              <w:spacing w:lineRule="auto" w:line="328" w:before="0" w:after="0"/>
              <w:ind w:left="0" w:right="0" w:hanging="0"/>
              <w:jc w:val="left"/>
              <w:rPr/>
            </w:pPr>
            <w:r>
              <w:rPr/>
              <w:t>​</w:t>
            </w:r>
          </w:p>
        </w:tc>
        <w:tc>
          <w:tcPr>
            <w:tcW w:w="804"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(61,250)</w:t>
            </w:r>
          </w:p>
        </w:tc>
      </w:tr>
      <w:tr>
        <w:trPr/>
        <w:tc>
          <w:tcPr>
            <w:tcW w:w="4573" w:type="dxa"/>
            <w:tcBorders/>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Reorganization items, net</w:t>
            </w:r>
          </w:p>
        </w:tc>
        <w:tc>
          <w:tcPr>
            <w:tcW w:w="346" w:type="dxa"/>
            <w:tcBorders/>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22,505</w:t>
            </w:r>
          </w:p>
        </w:tc>
        <w:tc>
          <w:tcPr>
            <w:tcW w:w="365" w:type="dxa"/>
            <w:tcBorders/>
            <w:vAlign w:val="center"/>
          </w:tcPr>
          <w:p>
            <w:pPr>
              <w:pStyle w:val="TableContents"/>
              <w:bidi w:val="0"/>
              <w:spacing w:lineRule="auto" w:line="328"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(38,340)</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b/>
                <w:sz w:val="16"/>
              </w:rPr>
            </w:pPr>
            <w:r>
              <w:rPr>
                <w:rFonts w:ascii="Helvetica;sans-serif" w:hAnsi="Helvetica;sans-serif"/>
                <w:b/>
                <w:sz w:val="16"/>
              </w:rPr>
              <w:t>Loss before income taxes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 </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(18,460)</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05"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pPr>
            <w:r>
              <w:rPr/>
              <w:t> </w:t>
            </w:r>
          </w:p>
        </w:tc>
        <w:tc>
          <w:tcPr>
            <w:tcW w:w="745"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(46,658)</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(64,561)</w:t>
            </w:r>
          </w:p>
        </w:tc>
        <w:tc>
          <w:tcPr>
            <w:tcW w:w="365" w:type="dxa"/>
            <w:tcBorders/>
            <w:shd w:fill="CCEEFF" w:val="clear"/>
            <w:vAlign w:val="center"/>
          </w:tcPr>
          <w:p>
            <w:pPr>
              <w:pStyle w:val="TableContents"/>
              <w:bidi w:val="0"/>
              <w:spacing w:lineRule="auto" w:line="328" w:before="0" w:after="0"/>
              <w:ind w:left="0" w:right="0" w:hanging="0"/>
              <w:jc w:val="left"/>
              <w:rPr/>
            </w:pPr>
            <w:r>
              <w:rPr/>
              <w:t>​</w:t>
            </w:r>
          </w:p>
        </w:tc>
        <w:tc>
          <w:tcPr>
            <w:tcW w:w="207" w:type="dxa"/>
            <w:tcBorders/>
            <w:shd w:fill="CCEEFF" w:val="clear"/>
            <w:vAlign w:val="center"/>
          </w:tcPr>
          <w:p>
            <w:pPr>
              <w:pStyle w:val="TableContents"/>
              <w:bidi w:val="0"/>
              <w:spacing w:lineRule="auto" w:line="328" w:before="0" w:after="0"/>
              <w:ind w:left="0" w:right="0" w:hanging="0"/>
              <w:jc w:val="left"/>
              <w:rPr/>
            </w:pPr>
            <w:r>
              <w:rPr/>
              <w:t>​</w:t>
            </w:r>
          </w:p>
        </w:tc>
        <w:tc>
          <w:tcPr>
            <w:tcW w:w="804" w:type="dxa"/>
            <w:tcBorders/>
            <w:shd w:fill="CCEEFF" w:val="cle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(22,910)</w:t>
            </w:r>
          </w:p>
        </w:tc>
      </w:tr>
      <w:tr>
        <w:trPr/>
        <w:tc>
          <w:tcPr>
            <w:tcW w:w="4573" w:type="dxa"/>
            <w:tcBorders/>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Income tax expense (benefit)</w:t>
            </w:r>
          </w:p>
        </w:tc>
        <w:tc>
          <w:tcPr>
            <w:tcW w:w="346" w:type="dxa"/>
            <w:tcBorders/>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w:t>
            </w:r>
          </w:p>
        </w:tc>
        <w:tc>
          <w:tcPr>
            <w:tcW w:w="848"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(1,756)</w:t>
            </w:r>
          </w:p>
        </w:tc>
        <w:tc>
          <w:tcPr>
            <w:tcW w:w="346" w:type="dxa"/>
            <w:tcBorders/>
            <w:vAlign w:val="center"/>
          </w:tcPr>
          <w:p>
            <w:pPr>
              <w:pStyle w:val="TableContents"/>
              <w:bidi w:val="0"/>
              <w:spacing w:lineRule="auto" w:line="328"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(3,191)</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848"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500</w:t>
            </w:r>
          </w:p>
        </w:tc>
        <w:tc>
          <w:tcPr>
            <w:tcW w:w="365" w:type="dxa"/>
            <w:tcBorders/>
            <w:vAlign w:val="center"/>
          </w:tcPr>
          <w:p>
            <w:pPr>
              <w:pStyle w:val="TableContents"/>
              <w:bidi w:val="0"/>
              <w:spacing w:lineRule="auto" w:line="328"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2,528</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b/>
                <w:sz w:val="16"/>
              </w:rPr>
            </w:pPr>
            <w:r>
              <w:rPr>
                <w:rFonts w:ascii="Helvetica;sans-serif" w:hAnsi="Helvetica;sans-serif"/>
                <w:b/>
                <w:sz w:val="16"/>
              </w:rPr>
              <w:t>Net Loss</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left"/>
              <w:rPr>
                <w:rFonts w:ascii="Helvetica;sans-serif" w:hAnsi="Helvetica;sans-serif"/>
                <w:b/>
                <w:sz w:val="16"/>
              </w:rPr>
            </w:pPr>
            <w:r>
              <w:rPr>
                <w:rFonts w:ascii="Helvetica;sans-serif" w:hAnsi="Helvetica;sans-serif"/>
                <w:b/>
                <w:sz w:val="16"/>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(16,704)</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left"/>
              <w:rPr>
                <w:rFonts w:ascii="Helvetica;sans-serif" w:hAnsi="Helvetica;sans-serif"/>
                <w:b/>
                <w:sz w:val="16"/>
              </w:rPr>
            </w:pPr>
            <w:r>
              <w:rPr>
                <w:rFonts w:ascii="Helvetica;sans-serif" w:hAnsi="Helvetica;sans-serif"/>
                <w:b/>
                <w:sz w:val="16"/>
              </w:rPr>
              <w:t>$</w:t>
            </w:r>
          </w:p>
        </w:tc>
        <w:tc>
          <w:tcPr>
            <w:tcW w:w="745"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(43,467)</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left"/>
              <w:rPr>
                <w:rFonts w:ascii="Helvetica;sans-serif" w:hAnsi="Helvetica;sans-serif"/>
                <w:b/>
                <w:sz w:val="16"/>
              </w:rPr>
            </w:pPr>
            <w:r>
              <w:rPr>
                <w:rFonts w:ascii="Helvetica;sans-serif" w:hAnsi="Helvetica;sans-serif"/>
                <w:b/>
                <w:sz w:val="16"/>
              </w:rPr>
              <w:t>$</w:t>
            </w:r>
          </w:p>
        </w:tc>
        <w:tc>
          <w:tcPr>
            <w:tcW w:w="848"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(65,061)</w:t>
            </w:r>
          </w:p>
        </w:tc>
        <w:tc>
          <w:tcPr>
            <w:tcW w:w="365" w:type="dxa"/>
            <w:tcBorders/>
            <w:shd w:fill="CCEEFF" w:val="clear"/>
            <w:vAlign w:val="center"/>
          </w:tcPr>
          <w:p>
            <w:pPr>
              <w:pStyle w:val="TableContents"/>
              <w:bidi w:val="0"/>
              <w:spacing w:lineRule="auto" w:line="328"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left"/>
              <w:rPr>
                <w:rFonts w:ascii="Helvetica;sans-serif" w:hAnsi="Helvetica;sans-serif"/>
                <w:b/>
                <w:sz w:val="16"/>
              </w:rPr>
            </w:pPr>
            <w:r>
              <w:rPr>
                <w:rFonts w:ascii="Helvetica;sans-serif" w:hAnsi="Helvetica;sans-serif"/>
                <w:b/>
                <w:sz w:val="16"/>
              </w:rPr>
              <w:t>$</w:t>
            </w:r>
          </w:p>
        </w:tc>
        <w:tc>
          <w:tcPr>
            <w:tcW w:w="804" w:type="dxa"/>
            <w:tcBorders>
              <w:bottom w:val="single" w:sz="2" w:space="0" w:color="000000"/>
            </w:tcBorders>
            <w:shd w:fill="CCEEFF" w:val="clear"/>
            <w:tcMar>
              <w:bottom w:w="28" w:type="dxa"/>
            </w:tcMar>
            <w:vAlign w:val="center"/>
          </w:tcPr>
          <w:p>
            <w:pPr>
              <w:pStyle w:val="TableContents"/>
              <w:bidi w:val="0"/>
              <w:spacing w:lineRule="auto" w:line="328" w:before="0" w:after="0"/>
              <w:ind w:left="0" w:right="0" w:hanging="0"/>
              <w:jc w:val="right"/>
              <w:rPr>
                <w:rFonts w:ascii="Helvetica;sans-serif" w:hAnsi="Helvetica;sans-serif"/>
                <w:b/>
                <w:sz w:val="16"/>
              </w:rPr>
            </w:pPr>
            <w:r>
              <w:rPr>
                <w:rFonts w:ascii="Helvetica;sans-serif" w:hAnsi="Helvetica;sans-serif"/>
                <w:b/>
                <w:sz w:val="16"/>
              </w:rPr>
              <w:t>(25,438)</w:t>
            </w:r>
          </w:p>
        </w:tc>
      </w:tr>
      <w:tr>
        <w:trPr/>
        <w:tc>
          <w:tcPr>
            <w:tcW w:w="4573" w:type="dxa"/>
            <w:tcBorders/>
            <w:vAlign w:val="center"/>
          </w:tcPr>
          <w:p>
            <w:pPr>
              <w:pStyle w:val="TableContents"/>
              <w:pBdr/>
              <w:bidi w:val="0"/>
              <w:spacing w:lineRule="auto" w:line="328" w:before="0" w:after="0"/>
              <w:ind w:left="0" w:right="0" w:hanging="0"/>
              <w:jc w:val="left"/>
              <w:rPr>
                <w:rFonts w:ascii="Helvetica;sans-serif" w:hAnsi="Helvetica;sans-serif"/>
                <w:b/>
                <w:sz w:val="16"/>
              </w:rPr>
            </w:pPr>
            <w:r>
              <w:rPr>
                <w:rFonts w:ascii="Helvetica;sans-serif" w:hAnsi="Helvetica;sans-serif"/>
                <w:b/>
                <w:sz w:val="16"/>
              </w:rPr>
              <w:t>Net loss per common share</w:t>
            </w:r>
          </w:p>
        </w:tc>
        <w:tc>
          <w:tcPr>
            <w:tcW w:w="346" w:type="dxa"/>
            <w:tcBorders/>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w:t>
            </w:r>
          </w:p>
        </w:tc>
        <w:tc>
          <w:tcPr>
            <w:tcW w:w="848" w:type="dxa"/>
            <w:tcBorders/>
            <w:vAlign w:val="center"/>
          </w:tcPr>
          <w:p>
            <w:pPr>
              <w:pStyle w:val="TableContents"/>
              <w:bidi w:val="0"/>
              <w:spacing w:lineRule="auto" w:line="328" w:before="0" w:after="0"/>
              <w:ind w:left="0" w:right="0" w:hanging="0"/>
              <w:jc w:val="left"/>
              <w:rPr/>
            </w:pPr>
            <w:r>
              <w:rPr/>
              <w:t>​</w:t>
            </w:r>
          </w:p>
        </w:tc>
        <w:tc>
          <w:tcPr>
            <w:tcW w:w="346" w:type="dxa"/>
            <w:tcBorders/>
            <w:vAlign w:val="center"/>
          </w:tcPr>
          <w:p>
            <w:pPr>
              <w:pStyle w:val="TableContents"/>
              <w:bidi w:val="0"/>
              <w:spacing w:lineRule="auto" w:line="328" w:before="0" w:after="0"/>
              <w:ind w:left="0" w:right="0" w:hanging="0"/>
              <w:jc w:val="left"/>
              <w:rPr/>
            </w:pPr>
            <w:r>
              <w:rPr/>
              <w:t>​</w:t>
            </w:r>
          </w:p>
        </w:tc>
        <w:tc>
          <w:tcPr>
            <w:tcW w:w="205" w:type="dxa"/>
            <w:tcBorders/>
            <w:vAlign w:val="center"/>
          </w:tcPr>
          <w:p>
            <w:pPr>
              <w:pStyle w:val="TableContents"/>
              <w:bidi w:val="0"/>
              <w:spacing w:lineRule="auto" w:line="328" w:before="0" w:after="0"/>
              <w:ind w:left="0" w:right="0" w:hanging="0"/>
              <w:jc w:val="left"/>
              <w:rPr/>
            </w:pPr>
            <w:r>
              <w:rPr/>
              <w:t>​</w:t>
            </w:r>
          </w:p>
        </w:tc>
        <w:tc>
          <w:tcPr>
            <w:tcW w:w="745" w:type="dxa"/>
            <w:tcBorders/>
            <w:vAlign w:val="center"/>
          </w:tcPr>
          <w:p>
            <w:pPr>
              <w:pStyle w:val="TableContents"/>
              <w:bidi w:val="0"/>
              <w:spacing w:lineRule="auto" w:line="328" w:before="0" w:after="0"/>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lineRule="auto" w:line="328"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328" w:before="0" w:after="0"/>
              <w:ind w:left="0" w:right="0" w:hanging="0"/>
              <w:jc w:val="left"/>
              <w:rPr/>
            </w:pPr>
            <w:r>
              <w:rPr/>
              <w:t>​</w:t>
            </w:r>
          </w:p>
        </w:tc>
        <w:tc>
          <w:tcPr>
            <w:tcW w:w="233" w:type="dxa"/>
            <w:tcBorders/>
            <w:vAlign w:val="center"/>
          </w:tcPr>
          <w:p>
            <w:pPr>
              <w:pStyle w:val="TableContents"/>
              <w:bidi w:val="0"/>
              <w:spacing w:lineRule="auto" w:line="328" w:before="0" w:after="0"/>
              <w:ind w:left="0" w:right="0" w:hanging="0"/>
              <w:jc w:val="left"/>
              <w:rPr/>
            </w:pPr>
            <w:r>
              <w:rPr/>
              <w:t>​</w:t>
            </w:r>
          </w:p>
        </w:tc>
        <w:tc>
          <w:tcPr>
            <w:tcW w:w="848" w:type="dxa"/>
            <w:tcBorders/>
            <w:vAlign w:val="center"/>
          </w:tcPr>
          <w:p>
            <w:pPr>
              <w:pStyle w:val="TableContents"/>
              <w:bidi w:val="0"/>
              <w:spacing w:lineRule="auto" w:line="328" w:before="0" w:after="0"/>
              <w:ind w:left="0" w:right="0" w:hanging="0"/>
              <w:jc w:val="left"/>
              <w:rPr/>
            </w:pPr>
            <w:r>
              <w:rPr/>
              <w:t>​</w:t>
            </w:r>
          </w:p>
        </w:tc>
        <w:tc>
          <w:tcPr>
            <w:tcW w:w="365" w:type="dxa"/>
            <w:tcBorders/>
            <w:vAlign w:val="center"/>
          </w:tcPr>
          <w:p>
            <w:pPr>
              <w:pStyle w:val="TableContents"/>
              <w:bidi w:val="0"/>
              <w:spacing w:lineRule="auto" w:line="328" w:before="0" w:after="0"/>
              <w:ind w:left="0" w:right="0" w:hanging="0"/>
              <w:jc w:val="left"/>
              <w:rPr/>
            </w:pPr>
            <w:r>
              <w:rPr/>
              <w:t>​</w:t>
            </w:r>
          </w:p>
        </w:tc>
        <w:tc>
          <w:tcPr>
            <w:tcW w:w="207" w:type="dxa"/>
            <w:tcBorders/>
            <w:vAlign w:val="center"/>
          </w:tcPr>
          <w:p>
            <w:pPr>
              <w:pStyle w:val="TableContents"/>
              <w:bidi w:val="0"/>
              <w:spacing w:lineRule="auto" w:line="328" w:before="0" w:after="0"/>
              <w:ind w:left="0" w:right="0" w:hanging="0"/>
              <w:jc w:val="left"/>
              <w:rPr/>
            </w:pPr>
            <w:r>
              <w:rPr/>
              <w:t>​</w:t>
            </w:r>
          </w:p>
        </w:tc>
        <w:tc>
          <w:tcPr>
            <w:tcW w:w="804" w:type="dxa"/>
            <w:tcBorders/>
            <w:vAlign w:val="center"/>
          </w:tcPr>
          <w:p>
            <w:pPr>
              <w:pStyle w:val="TableContents"/>
              <w:bidi w:val="0"/>
              <w:spacing w:lineRule="auto" w:line="328" w:before="0" w:after="0"/>
              <w:ind w:left="0" w:right="0" w:hanging="0"/>
              <w:jc w:val="left"/>
              <w:rPr/>
            </w:pPr>
            <w:r>
              <w:rPr/>
              <w:t>​</w:t>
            </w:r>
          </w:p>
        </w:tc>
      </w:tr>
      <w:tr>
        <w:trPr/>
        <w:tc>
          <w:tcPr>
            <w:tcW w:w="4573" w:type="dxa"/>
            <w:tcBorders/>
            <w:shd w:fill="CCEEFF" w:val="clear"/>
            <w:vAlign w:val="center"/>
          </w:tcPr>
          <w:p>
            <w:pPr>
              <w:pStyle w:val="TableContents"/>
              <w:pBdr/>
              <w:bidi w:val="0"/>
              <w:spacing w:lineRule="auto" w:line="328" w:before="0" w:after="0"/>
              <w:ind w:left="0" w:right="0" w:hanging="0"/>
              <w:jc w:val="left"/>
              <w:rPr>
                <w:rFonts w:ascii="Helvetica;sans-serif" w:hAnsi="Helvetica;sans-serif"/>
                <w:sz w:val="16"/>
              </w:rPr>
            </w:pPr>
            <w:r>
              <w:rPr>
                <w:rFonts w:ascii="Helvetica;sans-serif" w:hAnsi="Helvetica;sans-serif"/>
                <w:sz w:val="16"/>
              </w:rPr>
              <w:t>Basic and diluted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33" w:type="dxa"/>
            <w:tcBorders/>
            <w:shd w:fill="CCEEFF" w:val="clear"/>
            <w:vAlign w:val="center"/>
          </w:tcPr>
          <w:p>
            <w:pPr>
              <w:pStyle w:val="TableContents"/>
              <w:bidi w:val="0"/>
              <w:spacing w:lineRule="auto" w:line="328" w:before="0" w:after="0"/>
              <w:ind w:left="0" w:right="0" w:hanging="0"/>
              <w:jc w:val="left"/>
              <w:rPr/>
            </w:pPr>
            <w:r>
              <w:rPr/>
              <w:t>​</w:t>
            </w:r>
          </w:p>
        </w:tc>
        <w:tc>
          <w:tcPr>
            <w:tcW w:w="848"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(1.42)</w:t>
            </w:r>
          </w:p>
        </w:tc>
        <w:tc>
          <w:tcPr>
            <w:tcW w:w="346" w:type="dxa"/>
            <w:tcBorders/>
            <w:shd w:fill="CCEEFF" w:val="clear"/>
            <w:vAlign w:val="center"/>
          </w:tcPr>
          <w:p>
            <w:pPr>
              <w:pStyle w:val="TableContents"/>
              <w:bidi w:val="0"/>
              <w:spacing w:lineRule="auto" w:line="328" w:before="0" w:after="0"/>
              <w:ind w:left="0" w:right="0" w:hanging="0"/>
              <w:jc w:val="right"/>
              <w:rPr/>
            </w:pPr>
            <w:r>
              <w:rPr/>
              <w:t>​</w:t>
            </w:r>
          </w:p>
        </w:tc>
        <w:tc>
          <w:tcPr>
            <w:tcW w:w="205" w:type="dxa"/>
            <w:tcBorders/>
            <w:shd w:fill="CCEEFF" w:val="clear"/>
            <w:vAlign w:val="center"/>
          </w:tcPr>
          <w:p>
            <w:pPr>
              <w:pStyle w:val="TableContents"/>
              <w:bidi w:val="0"/>
              <w:spacing w:lineRule="auto" w:line="328" w:before="0" w:after="0"/>
              <w:ind w:left="0" w:right="0" w:hanging="0"/>
              <w:jc w:val="right"/>
              <w:rPr/>
            </w:pPr>
            <w:r>
              <w:rPr/>
              <w:t>​</w:t>
            </w:r>
          </w:p>
        </w:tc>
        <w:tc>
          <w:tcPr>
            <w:tcW w:w="745" w:type="dxa"/>
            <w:tcBorders/>
            <w:shd w:fill="CCEEFF" w:val="clear"/>
            <w:vAlign w:val="center"/>
          </w:tcPr>
          <w:p>
            <w:pPr>
              <w:pStyle w:val="TableContents"/>
              <w:bidi w:val="0"/>
              <w:spacing w:lineRule="auto" w:line="328" w:before="0" w:after="0"/>
              <w:ind w:left="0" w:right="0" w:hanging="0"/>
              <w:jc w:val="right"/>
              <w:rPr>
                <w:rFonts w:ascii="Helvetica;sans-serif" w:hAnsi="Helvetica;sans-serif"/>
                <w:sz w:val="16"/>
              </w:rPr>
            </w:pPr>
            <w:r>
              <w:rPr>
                <w:rFonts w:ascii="Helvetica;sans-serif" w:hAnsi="Helvetica;sans-serif"/>
                <w:sz w:val="16"/>
              </w:rPr>
              <w:t>(3.69)</w:t>
            </w:r>
          </w:p>
        </w:tc>
        <w:tc>
          <w:tcPr>
            <w:tcW w:w="226" w:type="dxa"/>
            <w:tcBorders>
              <w:right w:val="single" w:sz="2" w:space="0" w:color="000000"/>
            </w:tcBorders>
            <w:shd w:fill="CCEEFF" w:val="clear"/>
            <w:tcMar>
              <w:right w:w="28" w:type="dxa"/>
            </w:tcMar>
            <w:vAlign w:val="center"/>
          </w:tcPr>
          <w:p>
            <w:pPr>
              <w:pStyle w:val="TableContents"/>
              <w:bidi w:val="0"/>
              <w:spacing w:lineRule="auto" w:line="328"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328" w:before="0" w:after="0"/>
              <w:ind w:left="0" w:right="0" w:hanging="0"/>
              <w:jc w:val="right"/>
              <w:rPr/>
            </w:pPr>
            <w:r>
              <w:rPr/>
              <w:t>​</w:t>
            </w:r>
          </w:p>
        </w:tc>
        <w:tc>
          <w:tcPr>
            <w:tcW w:w="233" w:type="dxa"/>
            <w:tcBorders/>
            <w:shd w:fill="CCEEFF" w:val="clear"/>
            <w:vAlign w:val="center"/>
          </w:tcPr>
          <w:p>
            <w:pPr>
              <w:pStyle w:val="TableContents"/>
              <w:bidi w:val="0"/>
              <w:spacing w:lineRule="auto" w:line="328" w:before="0" w:after="0"/>
              <w:ind w:left="0" w:right="0" w:hanging="0"/>
              <w:jc w:val="right"/>
              <w:rPr/>
            </w:pPr>
            <w:r>
              <w:rPr/>
              <w:t>​</w:t>
            </w:r>
          </w:p>
        </w:tc>
        <w:tc>
          <w:tcPr>
            <w:tcW w:w="848" w:type="dxa"/>
            <w:tcBorders/>
            <w:shd w:fill="CCEEFF" w:val="clear"/>
            <w:vAlign w:val="center"/>
          </w:tcPr>
          <w:p>
            <w:pPr>
              <w:pStyle w:val="TableContents"/>
              <w:bidi w:val="0"/>
              <w:spacing w:lineRule="auto" w:line="328" w:before="0" w:after="0"/>
              <w:ind w:left="0" w:right="0" w:hanging="0"/>
              <w:jc w:val="right"/>
              <w:rPr/>
            </w:pPr>
            <w:r>
              <w:rPr/>
              <w:t>​</w:t>
            </w:r>
          </w:p>
        </w:tc>
        <w:tc>
          <w:tcPr>
            <w:tcW w:w="365" w:type="dxa"/>
            <w:tcBorders/>
            <w:shd w:fill="CCEEFF" w:val="clear"/>
            <w:vAlign w:val="center"/>
          </w:tcPr>
          <w:p>
            <w:pPr>
              <w:pStyle w:val="TableContents"/>
              <w:bidi w:val="0"/>
              <w:spacing w:lineRule="auto" w:line="328" w:before="0" w:after="0"/>
              <w:ind w:left="0" w:right="0" w:hanging="0"/>
              <w:jc w:val="right"/>
              <w:rPr/>
            </w:pPr>
            <w:r>
              <w:rPr/>
              <w:t>​</w:t>
            </w:r>
          </w:p>
        </w:tc>
        <w:tc>
          <w:tcPr>
            <w:tcW w:w="207" w:type="dxa"/>
            <w:tcBorders/>
            <w:shd w:fill="CCEEFF" w:val="clear"/>
            <w:vAlign w:val="center"/>
          </w:tcPr>
          <w:p>
            <w:pPr>
              <w:pStyle w:val="TableContents"/>
              <w:bidi w:val="0"/>
              <w:spacing w:lineRule="auto" w:line="328" w:before="0" w:after="0"/>
              <w:ind w:left="0" w:right="0" w:hanging="0"/>
              <w:jc w:val="right"/>
              <w:rPr/>
            </w:pPr>
            <w:r>
              <w:rPr/>
              <w:t>​</w:t>
            </w:r>
          </w:p>
        </w:tc>
        <w:tc>
          <w:tcPr>
            <w:tcW w:w="804" w:type="dxa"/>
            <w:tcBorders/>
            <w:shd w:fill="CCEEFF" w:val="clear"/>
            <w:vAlign w:val="center"/>
          </w:tcPr>
          <w:p>
            <w:pPr>
              <w:pStyle w:val="TableContents"/>
              <w:bidi w:val="0"/>
              <w:spacing w:lineRule="auto" w:line="328" w:before="0" w:after="0"/>
              <w:ind w:left="0" w:right="58" w:hanging="0"/>
              <w:jc w:val="right"/>
              <w:rPr/>
            </w:pPr>
            <w:r>
              <w:rPr/>
              <w:t>​</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XBP Global Holdings, Inc. and Subsidiaries</w:t>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Condensed Consolidated and Combined Statements of Cash Flows</w:t>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For the six months ended June 30, 2026 (Successor) and June 30, 2025 (Predecessor)</w:t>
      </w:r>
    </w:p>
    <w:p>
      <w:pPr>
        <w:pStyle w:val="TextBody"/>
        <w:bidi w:val="0"/>
        <w:spacing w:before="0" w:after="0"/>
        <w:ind w:left="0" w:right="0" w:hanging="0"/>
        <w:jc w:val="center"/>
        <w:rPr>
          <w:rFonts w:ascii="Helvetica;sans-serif" w:hAnsi="Helvetica;sans-serif"/>
          <w:i/>
          <w:sz w:val="18"/>
        </w:rPr>
      </w:pPr>
      <w:r>
        <w:rPr>
          <w:rFonts w:ascii="Helvetica;sans-serif" w:hAnsi="Helvetica;sans-serif"/>
          <w:i/>
          <w:sz w:val="18"/>
        </w:rPr>
        <w:t>(in thousands of United States dollars except share and per share amounts)</w:t>
      </w:r>
    </w:p>
    <w:p>
      <w:pPr>
        <w:pStyle w:val="TextBody"/>
        <w:bidi w:val="0"/>
        <w:spacing w:before="0" w:after="0"/>
        <w:ind w:left="0" w:right="0" w:hanging="0"/>
        <w:jc w:val="center"/>
        <w:rPr>
          <w:rFonts w:ascii="Helvetica;sans-serif" w:hAnsi="Helvetica;sans-serif"/>
          <w:sz w:val="18"/>
        </w:rPr>
      </w:pPr>
      <w:r>
        <w:rPr>
          <w:rFonts w:ascii="Helvetica;sans-serif" w:hAnsi="Helvetica;sans-serif"/>
          <w:sz w:val="18"/>
        </w:rPr>
        <w:t>(Unaudited)</w:t>
      </w:r>
    </w:p>
    <w:p>
      <w:pPr>
        <w:pStyle w:val="TextBody"/>
        <w:bidi w:val="0"/>
        <w:spacing w:before="0" w:after="120"/>
        <w:ind w:left="0" w:right="0" w:hanging="0"/>
        <w:jc w:val="center"/>
        <w:rPr/>
      </w:pPr>
      <w:r>
        <w:rPr/>
        <w:t>​</w:t>
      </w:r>
    </w:p>
    <w:tbl>
      <w:tblPr>
        <w:tblW w:w="8781" w:type="dxa"/>
        <w:jc w:val="center"/>
        <w:tblInd w:w="0" w:type="dxa"/>
        <w:tblLayout w:type="fixed"/>
        <w:tblCellMar>
          <w:top w:w="0" w:type="dxa"/>
          <w:left w:w="0" w:type="dxa"/>
          <w:bottom w:w="0" w:type="dxa"/>
          <w:right w:w="0" w:type="dxa"/>
        </w:tblCellMar>
      </w:tblPr>
      <w:tblGrid>
        <w:gridCol w:w="5446"/>
        <w:gridCol w:w="346"/>
        <w:gridCol w:w="271"/>
        <w:gridCol w:w="975"/>
        <w:gridCol w:w="226"/>
        <w:gridCol w:w="226"/>
        <w:gridCol w:w="292"/>
        <w:gridCol w:w="999"/>
      </w:tblGrid>
      <w:tr>
        <w:trPr/>
        <w:tc>
          <w:tcPr>
            <w:tcW w:w="5446" w:type="dxa"/>
            <w:tcBorders/>
            <w:vAlign w:val="center"/>
          </w:tcPr>
          <w:p>
            <w:pPr>
              <w:pStyle w:val="TableContents"/>
              <w:bidi w:val="0"/>
              <w:spacing w:before="0" w:after="0"/>
              <w:ind w:left="0" w:right="0" w:hanging="0"/>
              <w:jc w:val="left"/>
              <w:rPr/>
            </w:pPr>
            <w:bookmarkStart w:id="46" w:name="_Hlk237558345"/>
            <w:bookmarkEnd w:id="46"/>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Successor</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Predecessor</w:t>
            </w:r>
          </w:p>
        </w:tc>
      </w:tr>
      <w:tr>
        <w:trPr/>
        <w:tc>
          <w:tcPr>
            <w:tcW w:w="5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w:t>
            </w:r>
            <w:r>
              <w:rPr>
                <w:rFonts w:ascii="Helvetica;sans-serif" w:hAnsi="Helvetica;sans-serif"/>
                <w:b/>
                <w:sz w:val="14"/>
              </w:rPr>
              <w:br/>
              <w:t>Consolidated</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29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Combined and</w:t>
              <w:br/>
              <w:t>Consolidated</w:t>
            </w:r>
          </w:p>
        </w:tc>
      </w:tr>
      <w:tr>
        <w:trPr/>
        <w:tc>
          <w:tcPr>
            <w:tcW w:w="5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Six Months Ended</w:t>
              <w:br/>
              <w:t>June 30,</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291"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Six Months Ended</w:t>
              <w:br/>
              <w:t>June 30,</w:t>
            </w:r>
          </w:p>
        </w:tc>
      </w:tr>
      <w:tr>
        <w:trPr/>
        <w:tc>
          <w:tcPr>
            <w:tcW w:w="5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2026</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4"/>
              </w:rPr>
            </w:pPr>
            <w:r>
              <w:rPr>
                <w:rFonts w:ascii="Helvetica;sans-serif" w:hAnsi="Helvetica;sans-serif"/>
                <w:b/>
                <w:sz w:val="14"/>
              </w:rPr>
              <w:t>2025</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7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99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Net Loss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(43,467)</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(25,438)</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Adjustments to reconcile net loss to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30,117</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19,120</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Original issue discount, debt premium and debt issuance cost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3,056</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(14,669)</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Reorganization items, net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(81,383)</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Interest on BR Exar AR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(2,399)</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Debt modification and extinguishment loss (gain), net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121</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(1,527)</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(180)</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Deferred income tax provision</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(5,149)</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375</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Equity-based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1,017</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204</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Unrealized foreign currency loss (gain)</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1,564</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(76)</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Loss (gain)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381</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Payment-in-kind interest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2,975</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20,860</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Change in operating assets and liabilities, net of effect from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Accounts receivable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2,409</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(27,073)</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2,230</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(2,734)</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Accounts payable and accrued liabilities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(6,797)</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36,075</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Related party receivables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(1,839)</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b w:val="false"/>
                <w:i w:val="false"/>
                <w:caps w:val="false"/>
                <w:smallCaps w:val="false"/>
                <w:color w:val="000000"/>
                <w:sz w:val="14"/>
              </w:rPr>
            </w:pPr>
            <w:r>
              <w:rPr>
                <w:rFonts w:ascii="Helvetica;sans-serif" w:hAnsi="Helvetica;sans-serif"/>
                <w:b w:val="false"/>
                <w:i w:val="false"/>
                <w:caps w:val="false"/>
                <w:smallCaps w:val="false"/>
                <w:color w:val="000000"/>
                <w:sz w:val="14"/>
              </w:rPr>
              <w:t>1,483</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Additions to outsourced contract costs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(156)</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(140)</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7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(15,186)</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9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(75,863)</w:t>
            </w:r>
          </w:p>
        </w:tc>
      </w:tr>
      <w:tr>
        <w:trPr/>
        <w:tc>
          <w:tcPr>
            <w:tcW w:w="5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7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9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Purchase of property, plant and equipment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(2,415)</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(2,238)</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Additions to internally developed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(1,002)</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b w:val="false"/>
                <w:i w:val="false"/>
                <w:caps w:val="false"/>
                <w:smallCaps w:val="false"/>
                <w:color w:val="000000"/>
                <w:sz w:val="14"/>
              </w:rPr>
            </w:pPr>
            <w:r>
              <w:rPr>
                <w:rFonts w:ascii="Helvetica;sans-serif" w:hAnsi="Helvetica;sans-serif"/>
                <w:b w:val="false"/>
                <w:i w:val="false"/>
                <w:caps w:val="false"/>
                <w:smallCaps w:val="false"/>
                <w:color w:val="000000"/>
                <w:sz w:val="14"/>
              </w:rPr>
              <w:t>(1,006)</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Proceeds from sale of assets</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84</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7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(3,333)</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9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(3,241)</w:t>
            </w:r>
          </w:p>
        </w:tc>
      </w:tr>
      <w:tr>
        <w:trPr/>
        <w:tc>
          <w:tcPr>
            <w:tcW w:w="5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7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9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Cash paid for debt issuance costs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(2,453)</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(222)</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Cash paid for withholding taxes on vested RSUs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(100)</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Principal payments on finance lease obligations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(2,446)</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(2,689)</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Borrowings from other loans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20,823</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3,275</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Proceeds from Issuance of July 2030 Notes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870</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Proceeds from Super Senior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10,000</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Proceeds from ABL Facility</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272,800</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Repayments on ABL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(289,124)</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Repayment of Second Lien Note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(6,250)</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Proceeds from DIP New Money Loans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80,000</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Borrowing under BR Exar AR Facility</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15,775</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Repayments under BR Exar AR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(1,440)</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(22,862)</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Borrowing under Amended BR Exar AR Facility</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24,625</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Repayments under Amended BR Exar AR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(18,986)</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pPr>
            <w:r>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Repayments on 2028 Term Loan Facilities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(1,628)</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999" w:type="dxa"/>
            <w:tcBorders/>
            <w:vAlign w:val="center"/>
          </w:tcPr>
          <w:p>
            <w:pPr>
              <w:pStyle w:val="TableContents"/>
              <w:bidi w:val="0"/>
              <w:spacing w:before="0" w:after="0"/>
              <w:ind w:left="0" w:right="0" w:hanging="0"/>
              <w:jc w:val="right"/>
              <w:rPr>
                <w:caps w:val="false"/>
                <w:smallCaps w:val="false"/>
                <w:color w:val="000000"/>
              </w:rPr>
            </w:pPr>
            <w:r>
              <w:rPr>
                <w:caps w:val="false"/>
                <w:smallCaps w:val="false"/>
                <w:color w:val="000000"/>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Principal repayments on senior secured term loans and other loans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(28,450)</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(13,078)</w:t>
            </w:r>
          </w:p>
        </w:tc>
      </w:tr>
      <w:tr>
        <w:trPr/>
        <w:tc>
          <w:tcPr>
            <w:tcW w:w="5446" w:type="dxa"/>
            <w:tcBorders/>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27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7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(21,759)</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99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60,199</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Effect of exchange rates on cash, 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7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(429)</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99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113</w:t>
            </w:r>
          </w:p>
        </w:tc>
      </w:tr>
      <w:tr>
        <w:trPr/>
        <w:tc>
          <w:tcPr>
            <w:tcW w:w="5446" w:type="dxa"/>
            <w:tcBorders/>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Net decrease in cash, restricted cash and cash equivalents</w:t>
            </w:r>
          </w:p>
        </w:tc>
        <w:tc>
          <w:tcPr>
            <w:tcW w:w="346" w:type="dxa"/>
            <w:tcBorders/>
            <w:vAlign w:val="center"/>
          </w:tcPr>
          <w:p>
            <w:pPr>
              <w:pStyle w:val="TableContents"/>
              <w:bidi w:val="0"/>
              <w:spacing w:before="0" w:after="0"/>
              <w:ind w:left="0" w:right="0" w:hanging="0"/>
              <w:jc w:val="left"/>
              <w:rPr/>
            </w:pPr>
            <w:r>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75"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(40,707)</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99"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4"/>
              </w:rPr>
            </w:pPr>
            <w:r>
              <w:rPr>
                <w:rFonts w:ascii="Helvetica;sans-serif" w:hAnsi="Helvetica;sans-serif"/>
                <w:b/>
                <w:sz w:val="14"/>
              </w:rPr>
              <w:t>(18,792)</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Cash, 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lef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999" w:type="dxa"/>
            <w:tcBorders/>
            <w:shd w:fill="CCEEFF" w:val="cle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Beginning of period</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68,666</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64,067</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97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27,959</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999"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45,275</w:t>
            </w:r>
          </w:p>
        </w:tc>
      </w:tr>
      <w:tr>
        <w:trPr/>
        <w:tc>
          <w:tcPr>
            <w:tcW w:w="5446" w:type="dxa"/>
            <w:tcBorders/>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Supplemental cash flow data:</w:t>
            </w:r>
          </w:p>
        </w:tc>
        <w:tc>
          <w:tcPr>
            <w:tcW w:w="346" w:type="dxa"/>
            <w:tcBorders/>
            <w:vAlign w:val="center"/>
          </w:tcPr>
          <w:p>
            <w:pPr>
              <w:pStyle w:val="TableContents"/>
              <w:bidi w:val="0"/>
              <w:spacing w:before="0" w:after="0"/>
              <w:ind w:left="0" w:right="0" w:hanging="0"/>
              <w:jc w:val="left"/>
              <w:rPr/>
            </w:pPr>
            <w:r>
              <w:rPr/>
              <w:t>​</w:t>
            </w:r>
          </w:p>
        </w:tc>
        <w:tc>
          <w:tcPr>
            <w:tcW w:w="2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7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99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Income tax payments, net of refunds received</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3,018</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Helvetica;sans-serif" w:hAnsi="Helvetica;sans-serif"/>
                <w:sz w:val="14"/>
              </w:rPr>
            </w:pPr>
            <w:r>
              <w:rPr>
                <w:rFonts w:ascii="Helvetica;sans-serif" w:hAnsi="Helvetica;sans-serif"/>
                <w:sz w:val="14"/>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2,914</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Interest paid</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24,147</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9,024</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Cash paid for reorganization items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43,043</w:t>
            </w:r>
          </w:p>
        </w:tc>
      </w:tr>
      <w:tr>
        <w:trPr/>
        <w:tc>
          <w:tcPr>
            <w:tcW w:w="5446" w:type="dxa"/>
            <w:tcBorders/>
            <w:vAlign w:val="center"/>
          </w:tcPr>
          <w:p>
            <w:pPr>
              <w:pStyle w:val="TableContents"/>
              <w:pBdr/>
              <w:bidi w:val="0"/>
              <w:spacing w:before="0" w:after="0"/>
              <w:ind w:left="0" w:right="0" w:hanging="0"/>
              <w:jc w:val="left"/>
              <w:rPr>
                <w:rFonts w:ascii="Helvetica;sans-serif" w:hAnsi="Helvetica;sans-serif"/>
                <w:b/>
                <w:sz w:val="14"/>
              </w:rPr>
            </w:pPr>
            <w:r>
              <w:rPr>
                <w:rFonts w:ascii="Helvetica;sans-serif" w:hAnsi="Helvetica;sans-serif"/>
                <w:b/>
                <w:sz w:val="14"/>
              </w:rPr>
              <w:t>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Assets acquired through right-of-use arrangements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2,711</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9,600</w:t>
            </w:r>
          </w:p>
        </w:tc>
      </w:tr>
      <w:tr>
        <w:trPr/>
        <w:tc>
          <w:tcPr>
            <w:tcW w:w="5446" w:type="dxa"/>
            <w:tcBorders/>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Amounts reclassified from property, plant, and equipment to fixed assets held-for-sale</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2,340</w:t>
            </w:r>
          </w:p>
        </w:tc>
        <w:tc>
          <w:tcPr>
            <w:tcW w:w="2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99" w:type="dxa"/>
            <w:tcBorders/>
            <w:vAlign w:val="center"/>
          </w:tcPr>
          <w:p>
            <w:pPr>
              <w:pStyle w:val="TableContents"/>
              <w:bidi w:val="0"/>
              <w:spacing w:before="0" w:after="0"/>
              <w:ind w:left="0" w:right="0" w:hanging="0"/>
              <w:jc w:val="right"/>
              <w:rPr/>
            </w:pPr>
            <w:r>
              <w:rPr/>
              <w:t>—</w:t>
            </w:r>
          </w:p>
        </w:tc>
      </w:tr>
      <w:tr>
        <w:trPr/>
        <w:tc>
          <w:tcPr>
            <w:tcW w:w="5446" w:type="dxa"/>
            <w:tcBorders/>
            <w:shd w:fill="CCEEFF" w:val="clear"/>
            <w:vAlign w:val="center"/>
          </w:tcPr>
          <w:p>
            <w:pPr>
              <w:pStyle w:val="TableContents"/>
              <w:pBdr/>
              <w:bidi w:val="0"/>
              <w:spacing w:before="0" w:after="0"/>
              <w:ind w:left="0" w:right="0" w:hanging="0"/>
              <w:jc w:val="left"/>
              <w:rPr>
                <w:rFonts w:ascii="Helvetica;sans-serif" w:hAnsi="Helvetica;sans-serif"/>
                <w:sz w:val="14"/>
              </w:rPr>
            </w:pPr>
            <w:r>
              <w:rPr>
                <w:rFonts w:ascii="Helvetica;sans-serif" w:hAnsi="Helvetica;sans-serif"/>
                <w:sz w:val="14"/>
              </w:rPr>
              <w:t>Accrued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Helvetica;sans-serif" w:hAnsi="Helvetica;sans-serif"/>
                <w:sz w:val="14"/>
              </w:rPr>
            </w:pPr>
            <w:r>
              <w:rPr>
                <w:rFonts w:ascii="Helvetica;sans-serif" w:hAnsi="Helvetica;sans-serif"/>
                <w:sz w:val="14"/>
              </w:rPr>
              <w:t>321</w:t>
            </w:r>
          </w:p>
        </w:tc>
        <w:tc>
          <w:tcPr>
            <w:tcW w:w="2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99" w:type="dxa"/>
            <w:tcBorders/>
            <w:shd w:fill="CCEEFF" w:val="clear"/>
            <w:vAlign w:val="center"/>
          </w:tcPr>
          <w:p>
            <w:pPr>
              <w:pStyle w:val="TableContents"/>
              <w:bidi w:val="0"/>
              <w:spacing w:before="0" w:after="0"/>
              <w:ind w:left="0" w:right="60" w:hanging="0"/>
              <w:jc w:val="right"/>
              <w:rPr>
                <w:rFonts w:ascii="Helvetica;sans-serif" w:hAnsi="Helvetica;sans-serif"/>
                <w:sz w:val="14"/>
              </w:rPr>
            </w:pPr>
            <w:r>
              <w:rPr>
                <w:rFonts w:ascii="Helvetica;sans-serif" w:hAnsi="Helvetica;sans-serif"/>
                <w:sz w:val="14"/>
              </w:rPr>
              <w:t>163</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Reconciliation of Revenue and Gross Profit As Reported to Combined Pro Forma Revenue and Pro Forma Adjusted Gross Profit for the Three and Six Months Ended June 30, 2026 and June 30, 2025</w:t>
      </w:r>
    </w:p>
    <w:p>
      <w:pPr>
        <w:pStyle w:val="TextBody"/>
        <w:bidi w:val="0"/>
        <w:spacing w:before="0" w:after="0"/>
        <w:ind w:left="0" w:right="0" w:hanging="0"/>
        <w:jc w:val="center"/>
        <w:rPr>
          <w:rFonts w:ascii="Helvetica;sans-serif" w:hAnsi="Helvetica;sans-serif"/>
          <w:i/>
          <w:sz w:val="18"/>
        </w:rPr>
      </w:pPr>
      <w:r>
        <w:rPr>
          <w:rFonts w:ascii="Helvetica;sans-serif" w:hAnsi="Helvetica;sans-serif"/>
          <w:i/>
          <w:sz w:val="18"/>
        </w:rPr>
        <w:t>(in thousands of United States dollars)</w:t>
        <w:br/>
        <w:t>(Unaudited)</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492"/>
        <w:gridCol w:w="346"/>
        <w:gridCol w:w="211"/>
        <w:gridCol w:w="781"/>
        <w:gridCol w:w="361"/>
        <w:gridCol w:w="211"/>
        <w:gridCol w:w="781"/>
        <w:gridCol w:w="361"/>
        <w:gridCol w:w="211"/>
        <w:gridCol w:w="781"/>
        <w:gridCol w:w="361"/>
        <w:gridCol w:w="211"/>
        <w:gridCol w:w="781"/>
        <w:gridCol w:w="316"/>
      </w:tblGrid>
      <w:tr>
        <w:trPr/>
        <w:tc>
          <w:tcPr>
            <w:tcW w:w="4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852420" cy="29210"/>
                      <wp:effectExtent l="0" t="0" r="0" b="0"/>
                      <wp:wrapNone/>
                      <wp:docPr id="34" name="Frame33"/>
                      <a:graphic xmlns:a="http://schemas.openxmlformats.org/drawingml/2006/main">
                        <a:graphicData uri="http://schemas.microsoft.com/office/word/2010/wordprocessingShape">
                          <wps:wsp>
                            <wps:cNvSpPr txBox="1"/>
                            <wps:spPr>
                              <a:xfrm>
                                <a:off x="0" y="0"/>
                                <a:ext cx="28524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29210"/>
                      <wp:effectExtent l="0" t="0" r="0" b="0"/>
                      <wp:wrapNone/>
                      <wp:docPr id="36" name="Frame35"/>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95935" cy="29210"/>
                      <wp:effectExtent l="0" t="0" r="0" b="0"/>
                      <wp:wrapNone/>
                      <wp:docPr id="37" name="Frame36"/>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29235" cy="175260"/>
                      <wp:effectExtent l="0" t="0" r="0" b="0"/>
                      <wp:wrapNone/>
                      <wp:docPr id="38" name="Frame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29210"/>
                      <wp:effectExtent l="0" t="0" r="0" b="0"/>
                      <wp:wrapNone/>
                      <wp:docPr id="39" name="Frame38"/>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5935" cy="29210"/>
                      <wp:effectExtent l="0" t="0" r="0" b="0"/>
                      <wp:wrapNone/>
                      <wp:docPr id="40" name="Frame39"/>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29235" cy="175260"/>
                      <wp:effectExtent l="0" t="0" r="0" b="0"/>
                      <wp:wrapNone/>
                      <wp:docPr id="41" name="Frame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29210"/>
                      <wp:effectExtent l="0" t="0" r="0" b="0"/>
                      <wp:wrapNone/>
                      <wp:docPr id="42" name="Frame41"/>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5935" cy="29210"/>
                      <wp:effectExtent l="0" t="0" r="0" b="0"/>
                      <wp:wrapNone/>
                      <wp:docPr id="43" name="Frame42"/>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9235" cy="175260"/>
                      <wp:effectExtent l="0" t="0" r="0" b="0"/>
                      <wp:wrapNone/>
                      <wp:docPr id="44" name="Frame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29210"/>
                      <wp:effectExtent l="0" t="0" r="0" b="0"/>
                      <wp:wrapNone/>
                      <wp:docPr id="45" name="Frame44"/>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29210"/>
                      <wp:effectExtent l="0" t="0" r="0" b="0"/>
                      <wp:wrapNone/>
                      <wp:docPr id="46" name="Frame45"/>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0660" cy="175260"/>
                      <wp:effectExtent l="0" t="0" r="0" b="0"/>
                      <wp:wrapNone/>
                      <wp:docPr id="47" name="Frame4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5" w:type="dxa"/>
            <w:gridSpan w:val="5"/>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Three Months Ended</w:t>
            </w:r>
          </w:p>
        </w:tc>
        <w:tc>
          <w:tcPr>
            <w:tcW w:w="361" w:type="dxa"/>
            <w:tcBorders/>
            <w:vAlign w:val="center"/>
          </w:tcPr>
          <w:p>
            <w:pPr>
              <w:pStyle w:val="TableContents"/>
              <w:bidi w:val="0"/>
              <w:spacing w:before="0" w:after="0"/>
              <w:ind w:left="0" w:right="0" w:hanging="0"/>
              <w:jc w:val="left"/>
              <w:rPr/>
            </w:pPr>
            <w:r>
              <w:rPr/>
              <w:t>​</w:t>
            </w:r>
          </w:p>
        </w:tc>
        <w:tc>
          <w:tcPr>
            <w:tcW w:w="2345" w:type="dxa"/>
            <w:gridSpan w:val="5"/>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Six Months Ended</w:t>
            </w:r>
          </w:p>
        </w:tc>
        <w:tc>
          <w:tcPr>
            <w:tcW w:w="316" w:type="dxa"/>
            <w:tcBorders/>
            <w:vAlign w:val="center"/>
          </w:tcPr>
          <w:p>
            <w:pPr>
              <w:pStyle w:val="TableContents"/>
              <w:bidi w:val="0"/>
              <w:spacing w:before="0" w:after="0"/>
              <w:ind w:left="0" w:right="0" w:hanging="0"/>
              <w:jc w:val="left"/>
              <w:rPr/>
            </w:pPr>
            <w:r>
              <w:rPr/>
              <w:t> </w:t>
            </w:r>
          </w:p>
        </w:tc>
      </w:tr>
      <w:tr>
        <w:trPr/>
        <w:tc>
          <w:tcPr>
            <w:tcW w:w="44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June 30,</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June 30,</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2026</w:t>
            </w:r>
          </w:p>
        </w:tc>
        <w:tc>
          <w:tcPr>
            <w:tcW w:w="36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9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2025</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2026</w:t>
            </w:r>
          </w:p>
        </w:tc>
        <w:tc>
          <w:tcPr>
            <w:tcW w:w="36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9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2025</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As Reported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191,311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182,712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388,396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374,692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Intercompany Eliminations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(1,022)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(2,648)</w:t>
            </w:r>
          </w:p>
        </w:tc>
        <w:tc>
          <w:tcPr>
            <w:tcW w:w="316" w:type="dxa"/>
            <w:tcBorders/>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Revenue Adjusted for XBP Europe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40,819</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80,149</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Pro Forma Revenue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191,311</w:t>
            </w:r>
          </w:p>
        </w:tc>
        <w:tc>
          <w:tcPr>
            <w:tcW w:w="361"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222,508</w:t>
            </w:r>
          </w:p>
        </w:tc>
        <w:tc>
          <w:tcPr>
            <w:tcW w:w="361"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388,396</w:t>
            </w:r>
          </w:p>
        </w:tc>
        <w:tc>
          <w:tcPr>
            <w:tcW w:w="361"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452,193</w:t>
            </w:r>
          </w:p>
        </w:tc>
        <w:tc>
          <w:tcPr>
            <w:tcW w:w="316" w:type="dxa"/>
            <w:tcBorders/>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As Reported Cost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150,155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145,052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302,053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295,696</w:t>
            </w:r>
          </w:p>
        </w:tc>
        <w:tc>
          <w:tcPr>
            <w:tcW w:w="316" w:type="dxa"/>
            <w:tcBorders/>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Intercompany Eliminations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(374)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(568)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Cost of Revenue Adjustment for XBP Europe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31,723</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59,966</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Pro Forma 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150,155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176,401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302,053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355,094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As Reported 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41,156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37,660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86,343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78,996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Intercompany Eliminations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(648)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(2,080)</w:t>
            </w:r>
          </w:p>
        </w:tc>
        <w:tc>
          <w:tcPr>
            <w:tcW w:w="316" w:type="dxa"/>
            <w:tcBorders/>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Gross Profit Adjustment for XBP Europe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9,096</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20,183</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Pro Forma 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41,156</w:t>
            </w:r>
          </w:p>
        </w:tc>
        <w:tc>
          <w:tcPr>
            <w:tcW w:w="361"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46,107</w:t>
            </w:r>
          </w:p>
        </w:tc>
        <w:tc>
          <w:tcPr>
            <w:tcW w:w="361"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86,343</w:t>
            </w:r>
          </w:p>
        </w:tc>
        <w:tc>
          <w:tcPr>
            <w:tcW w:w="361"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97,098</w:t>
            </w:r>
          </w:p>
        </w:tc>
        <w:tc>
          <w:tcPr>
            <w:tcW w:w="316" w:type="dxa"/>
            <w:tcBorders/>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Pro Forma 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21.5</w:t>
            </w:r>
          </w:p>
        </w:tc>
        <w:tc>
          <w:tcPr>
            <w:tcW w:w="36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20.7</w:t>
            </w:r>
          </w:p>
        </w:tc>
        <w:tc>
          <w:tcPr>
            <w:tcW w:w="36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22.2</w:t>
            </w:r>
          </w:p>
        </w:tc>
        <w:tc>
          <w:tcPr>
            <w:tcW w:w="36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21.5</w:t>
            </w:r>
          </w:p>
        </w:tc>
        <w:tc>
          <w:tcPr>
            <w:tcW w:w="316"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r>
      <w:tr>
        <w:trPr/>
        <w:tc>
          <w:tcPr>
            <w:tcW w:w="44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Pro Forma 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41,156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46,107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86,343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97,098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Severance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5,944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505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7,052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1,320</w:t>
            </w:r>
          </w:p>
        </w:tc>
        <w:tc>
          <w:tcPr>
            <w:tcW w:w="316" w:type="dxa"/>
            <w:tcBorders/>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Restructuring and 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452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458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Cost of Revenue from Previously Discontinued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154</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2,243</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154</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2,314</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92" w:type="dxa"/>
            <w:tcBorders/>
            <w:shd w:fill="CCEEFF" w:val="clear"/>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Adjusted Gross Profit (non-GAAP)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47,706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48,855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94,007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100,732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492"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Adjusted Gross Margin (non-GAAP)</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24.9</w:t>
            </w:r>
          </w:p>
        </w:tc>
        <w:tc>
          <w:tcPr>
            <w:tcW w:w="36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22.0</w:t>
            </w:r>
          </w:p>
        </w:tc>
        <w:tc>
          <w:tcPr>
            <w:tcW w:w="36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24.2</w:t>
            </w:r>
          </w:p>
        </w:tc>
        <w:tc>
          <w:tcPr>
            <w:tcW w:w="361"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22.3</w:t>
            </w:r>
          </w:p>
        </w:tc>
        <w:tc>
          <w:tcPr>
            <w:tcW w:w="316" w:type="dxa"/>
            <w:tcBorders/>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18"/>
        </w:rPr>
      </w:pPr>
      <w:r>
        <w:rPr>
          <w:rFonts w:ascii="Helvetica;sans-serif" w:hAnsi="Helvetica;sans-serif"/>
          <w:b/>
          <w:sz w:val="18"/>
        </w:rPr>
        <w:t>Reconciliation of Net Income to Pro Forma Normalized EBITDA for the Three and Six Months Ended June 30, 2026 and June 30, 2025</w:t>
      </w:r>
    </w:p>
    <w:p>
      <w:pPr>
        <w:pStyle w:val="TextBody"/>
        <w:bidi w:val="0"/>
        <w:spacing w:before="0" w:after="0"/>
        <w:ind w:left="0" w:right="0" w:hanging="0"/>
        <w:jc w:val="center"/>
        <w:rPr>
          <w:rFonts w:ascii="Helvetica;sans-serif" w:hAnsi="Helvetica;sans-serif"/>
          <w:i/>
          <w:sz w:val="18"/>
        </w:rPr>
      </w:pPr>
      <w:r>
        <w:rPr>
          <w:rFonts w:ascii="Helvetica;sans-serif" w:hAnsi="Helvetica;sans-serif"/>
          <w:i/>
          <w:sz w:val="18"/>
        </w:rPr>
        <w:t>(in thousands of United States dollars)</w:t>
        <w:br/>
        <w:t>(Unaudited)</w:t>
      </w:r>
    </w:p>
    <w:p>
      <w:pPr>
        <w:pStyle w:val="TextBody"/>
        <w:bidi w:val="0"/>
        <w:spacing w:before="0" w:after="0"/>
        <w:ind w:left="0" w:right="0" w:hanging="0"/>
        <w:jc w:val="left"/>
        <w:rPr/>
      </w:pPr>
      <w:r>
        <w:rPr/>
        <w:t>​</w:t>
      </w:r>
    </w:p>
    <w:tbl>
      <w:tblPr>
        <w:tblW w:w="9988" w:type="dxa"/>
        <w:jc w:val="center"/>
        <w:tblInd w:w="0" w:type="dxa"/>
        <w:tblLayout w:type="fixed"/>
        <w:tblCellMar>
          <w:top w:w="0" w:type="dxa"/>
          <w:left w:w="0" w:type="dxa"/>
          <w:bottom w:w="0" w:type="dxa"/>
          <w:right w:w="0" w:type="dxa"/>
        </w:tblCellMar>
      </w:tblPr>
      <w:tblGrid>
        <w:gridCol w:w="4531"/>
        <w:gridCol w:w="346"/>
        <w:gridCol w:w="211"/>
        <w:gridCol w:w="796"/>
        <w:gridCol w:w="346"/>
        <w:gridCol w:w="211"/>
        <w:gridCol w:w="796"/>
        <w:gridCol w:w="346"/>
        <w:gridCol w:w="211"/>
        <w:gridCol w:w="796"/>
        <w:gridCol w:w="346"/>
        <w:gridCol w:w="211"/>
        <w:gridCol w:w="841"/>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877185" cy="29210"/>
                      <wp:effectExtent l="0" t="0" r="0" b="0"/>
                      <wp:wrapNone/>
                      <wp:docPr id="48" name="Frame47"/>
                      <a:graphic xmlns:a="http://schemas.openxmlformats.org/drawingml/2006/main">
                        <a:graphicData uri="http://schemas.microsoft.com/office/word/2010/wordprocessingShape">
                          <wps:wsp>
                            <wps:cNvSpPr txBox="1"/>
                            <wps:spPr>
                              <a:xfrm>
                                <a:off x="0" y="0"/>
                                <a:ext cx="2877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29210"/>
                      <wp:effectExtent l="0" t="0" r="0" b="0"/>
                      <wp:wrapNone/>
                      <wp:docPr id="50" name="Frame49"/>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5460" cy="29210"/>
                      <wp:effectExtent l="0" t="0" r="0" b="0"/>
                      <wp:wrapNone/>
                      <wp:docPr id="51" name="Frame50"/>
                      <a:graphic xmlns:a="http://schemas.openxmlformats.org/drawingml/2006/main">
                        <a:graphicData uri="http://schemas.microsoft.com/office/word/2010/wordprocessingShape">
                          <wps:wsp>
                            <wps:cNvSpPr txBox="1"/>
                            <wps:spPr>
                              <a:xfrm>
                                <a:off x="0" y="0"/>
                                <a:ext cx="505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29210"/>
                      <wp:effectExtent l="0" t="0" r="0" b="0"/>
                      <wp:wrapNone/>
                      <wp:docPr id="53" name="Frame52"/>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05460" cy="29210"/>
                      <wp:effectExtent l="0" t="0" r="0" b="0"/>
                      <wp:wrapNone/>
                      <wp:docPr id="54" name="Frame53"/>
                      <a:graphic xmlns:a="http://schemas.openxmlformats.org/drawingml/2006/main">
                        <a:graphicData uri="http://schemas.microsoft.com/office/word/2010/wordprocessingShape">
                          <wps:wsp>
                            <wps:cNvSpPr txBox="1"/>
                            <wps:spPr>
                              <a:xfrm>
                                <a:off x="0" y="0"/>
                                <a:ext cx="505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29210"/>
                      <wp:effectExtent l="0" t="0" r="0" b="0"/>
                      <wp:wrapNone/>
                      <wp:docPr id="56" name="Frame55"/>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05460" cy="29210"/>
                      <wp:effectExtent l="0" t="0" r="0" b="0"/>
                      <wp:wrapNone/>
                      <wp:docPr id="57" name="Frame56"/>
                      <a:graphic xmlns:a="http://schemas.openxmlformats.org/drawingml/2006/main">
                        <a:graphicData uri="http://schemas.microsoft.com/office/word/2010/wordprocessingShape">
                          <wps:wsp>
                            <wps:cNvSpPr txBox="1"/>
                            <wps:spPr>
                              <a:xfrm>
                                <a:off x="0" y="0"/>
                                <a:ext cx="505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29210"/>
                      <wp:effectExtent l="0" t="0" r="0" b="0"/>
                      <wp:wrapNone/>
                      <wp:docPr id="59" name="Frame58"/>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4670" cy="29210"/>
                      <wp:effectExtent l="0" t="0" r="0" b="0"/>
                      <wp:wrapNone/>
                      <wp:docPr id="60" name="Frame59"/>
                      <a:graphic xmlns:a="http://schemas.openxmlformats.org/drawingml/2006/main">
                        <a:graphicData uri="http://schemas.microsoft.com/office/word/2010/wordprocessingShape">
                          <wps:wsp>
                            <wps:cNvSpPr txBox="1"/>
                            <wps:spPr>
                              <a:xfrm>
                                <a:off x="0" y="0"/>
                                <a:ext cx="534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Three Months Ended</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Six Months Ended</w: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June 30,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June 30,</w:t>
            </w:r>
          </w:p>
        </w:tc>
      </w:tr>
      <w:tr>
        <w:trPr/>
        <w:tc>
          <w:tcPr>
            <w:tcW w:w="45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2026</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0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2026</w:t>
            </w:r>
          </w:p>
        </w:tc>
        <w:tc>
          <w:tcPr>
            <w:tcW w:w="34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 ​ ​</w:t>
            </w:r>
          </w:p>
        </w:tc>
        <w:tc>
          <w:tcPr>
            <w:tcW w:w="105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2025</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(16,704)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(65,061)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(43,467)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w:t>
            </w:r>
          </w:p>
        </w:tc>
        <w:tc>
          <w:tcPr>
            <w:tcW w:w="84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(25,438)</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XBP Europe 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(6,577)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(10,930)</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Pro Forma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(16,704)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(71,638)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(43,467)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(36,368)</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(3,191)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3,804</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Interest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13,890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48,940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27,959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74,455</w:t>
            </w:r>
          </w:p>
        </w:tc>
      </w:tr>
      <w:tr>
        <w:trPr/>
        <w:tc>
          <w:tcPr>
            <w:tcW w:w="4531" w:type="dxa"/>
            <w:tcBorders>
              <w:bottom w:val="single" w:sz="2" w:space="0" w:color="000000"/>
            </w:tcBorders>
            <w:tcMar>
              <w:bottom w:w="28" w:type="dxa"/>
            </w:tcM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Depreciation and 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15,268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9,223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30,117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20,417</w:t>
            </w:r>
          </w:p>
        </w:tc>
      </w:tr>
      <w:tr>
        <w:trPr/>
        <w:tc>
          <w:tcPr>
            <w:tcW w:w="453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Pro Forma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10,698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(12,462)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11,418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84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62,308</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Severance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6,835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943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8,162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2,596</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Optimization and restructuring expenses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1,709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3,900</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Restructuring and related expenses (2)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Non-cash equity compensation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4,445</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EBITDA from Previously Discontinued Operations (4)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1,825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505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2,634</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Foreign exchange losses,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(382)</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Reorganization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22,505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8,938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(38,340)</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Loss (gain) on sale of assets (5)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381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Changes in fair value of warrant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Transaction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4,903</w:t>
            </w:r>
          </w:p>
        </w:tc>
      </w:tr>
      <w:tr>
        <w:trPr/>
        <w:tc>
          <w:tcPr>
            <w:tcW w:w="4531" w:type="dxa"/>
            <w:tcBorders/>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DMR Related write-off</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1,209</w:t>
            </w:r>
          </w:p>
        </w:tc>
      </w:tr>
      <w:tr>
        <w:trPr/>
        <w:tc>
          <w:tcPr>
            <w:tcW w:w="4531" w:type="dxa"/>
            <w:tcBorders/>
            <w:shd w:fill="CCEEFF" w:val="clear"/>
            <w:vAlign w:val="center"/>
          </w:tcPr>
          <w:p>
            <w:pPr>
              <w:pStyle w:val="TableContents"/>
              <w:pBdr/>
              <w:bidi w:val="0"/>
              <w:spacing w:before="0" w:after="0"/>
              <w:ind w:left="0" w:right="0" w:hanging="0"/>
              <w:jc w:val="left"/>
              <w:rPr>
                <w:rFonts w:ascii="Helvetica;sans-serif" w:hAnsi="Helvetica;sans-serif"/>
                <w:sz w:val="18"/>
              </w:rPr>
            </w:pPr>
            <w:r>
              <w:rPr>
                <w:rFonts w:ascii="Helvetica;sans-serif" w:hAnsi="Helvetica;sans-serif"/>
                <w:sz w:val="18"/>
              </w:rPr>
              <w:t>Payroll tax penalties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2,789</w:t>
            </w:r>
          </w:p>
        </w:tc>
      </w:tr>
      <w:tr>
        <w:trPr/>
        <w:tc>
          <w:tcPr>
            <w:tcW w:w="453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8"/>
              </w:rPr>
            </w:pPr>
            <w:r>
              <w:rPr>
                <w:rFonts w:ascii="Helvetica;sans-serif" w:hAnsi="Helvetica;sans-serif"/>
                <w:sz w:val="18"/>
              </w:rPr>
              <w:t>Debt modification and extinguishment costs (gain), net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8"/>
              </w:rPr>
            </w:pPr>
            <w:r>
              <w:rPr>
                <w:rFonts w:ascii="Helvetica;sans-serif" w:hAnsi="Helvetica;sans-serif"/>
                <w:sz w:val="18"/>
              </w:rPr>
              <w:t>121</w:t>
            </w:r>
          </w:p>
        </w:tc>
      </w:tr>
      <w:tr>
        <w:trPr/>
        <w:tc>
          <w:tcPr>
            <w:tcW w:w="453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Helvetica;sans-serif" w:hAnsi="Helvetica;sans-serif"/>
                <w:b/>
                <w:sz w:val="18"/>
              </w:rPr>
            </w:pPr>
            <w:r>
              <w:rPr>
                <w:rFonts w:ascii="Helvetica;sans-serif" w:hAnsi="Helvetica;sans-serif"/>
                <w:b/>
                <w:sz w:val="18"/>
              </w:rPr>
              <w:t>Pro Forma Normalized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21,924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20,219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79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sans-serif" w:hAnsi="Helvetica;sans-serif"/>
                <w:b/>
                <w:sz w:val="18"/>
              </w:rPr>
            </w:pPr>
            <w:r>
              <w:rPr>
                <w:rFonts w:ascii="Helvetica;sans-serif" w:hAnsi="Helvetica;sans-serif"/>
                <w:b/>
                <w:sz w:val="18"/>
              </w:rPr>
              <w:t>37,518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Helvetica;sans-serif" w:hAnsi="Helvetica;sans-serif"/>
                <w:b/>
                <w:sz w:val="18"/>
              </w:rPr>
            </w:pPr>
            <w:r>
              <w:rPr>
                <w:rFonts w:ascii="Helvetica;sans-serif" w:hAnsi="Helvetica;sans-serif"/>
                <w:b/>
                <w:sz w:val="18"/>
              </w:rPr>
              <w:t>$</w:t>
            </w:r>
          </w:p>
        </w:tc>
        <w:tc>
          <w:tcPr>
            <w:tcW w:w="841" w:type="dxa"/>
            <w:tcBorders>
              <w:top w:val="single" w:sz="2" w:space="0" w:color="000000"/>
            </w:tcBorders>
            <w:shd w:fill="CCEEFF" w:val="clear"/>
            <w:tcMar>
              <w:top w:w="28" w:type="dxa"/>
            </w:tcMar>
            <w:vAlign w:val="center"/>
          </w:tcPr>
          <w:p>
            <w:pPr>
              <w:pStyle w:val="TableContents"/>
              <w:bidi w:val="0"/>
              <w:spacing w:before="0" w:after="0"/>
              <w:ind w:left="0" w:right="60" w:hanging="0"/>
              <w:jc w:val="right"/>
              <w:rPr>
                <w:rFonts w:ascii="Helvetica;sans-serif" w:hAnsi="Helvetica;sans-serif"/>
                <w:b/>
                <w:sz w:val="18"/>
              </w:rPr>
            </w:pPr>
            <w:r>
              <w:rPr>
                <w:rFonts w:ascii="Helvetica;sans-serif" w:hAnsi="Helvetica;sans-serif"/>
                <w:b/>
                <w:sz w:val="18"/>
              </w:rPr>
              <w:t>46,185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(1)</w:t>
            </w:r>
          </w:p>
        </w:tc>
        <w:tc>
          <w:tcPr>
            <w:tcW w:w="9979"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the annualized run-rate cost savings from optimization and restructuring initiatives implemented during the period. These adjustments reflect the impact as if such cost savings had been realized for the entire period presented.</w:t>
            </w:r>
          </w:p>
        </w:tc>
      </w:tr>
    </w:tbl>
    <w:tbl>
      <w:tblPr>
        <w:tblW w:w="7098" w:type="dxa"/>
        <w:jc w:val="left"/>
        <w:tblInd w:w="0" w:type="dxa"/>
        <w:tblLayout w:type="fixed"/>
        <w:tblCellMar>
          <w:top w:w="0" w:type="dxa"/>
          <w:left w:w="0" w:type="dxa"/>
          <w:bottom w:w="0" w:type="dxa"/>
          <w:right w:w="0" w:type="dxa"/>
        </w:tblCellMar>
      </w:tblPr>
      <w:tblGrid>
        <w:gridCol w:w="23"/>
        <w:gridCol w:w="23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(2)</w:t>
            </w:r>
          </w:p>
        </w:tc>
        <w:tc>
          <w:tcPr>
            <w:tcW w:w="6845"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one-time costs associated with restructuring, including professional and legal fees</w:t>
            </w:r>
          </w:p>
        </w:tc>
      </w:tr>
    </w:tbl>
    <w:tbl>
      <w:tblPr>
        <w:tblW w:w="5253" w:type="dxa"/>
        <w:jc w:val="left"/>
        <w:tblInd w:w="0" w:type="dxa"/>
        <w:tblLayout w:type="fixed"/>
        <w:tblCellMar>
          <w:top w:w="0" w:type="dxa"/>
          <w:left w:w="0" w:type="dxa"/>
          <w:bottom w:w="0" w:type="dxa"/>
          <w:right w:w="0" w:type="dxa"/>
        </w:tblCellMar>
      </w:tblPr>
      <w:tblGrid>
        <w:gridCol w:w="23"/>
        <w:gridCol w:w="230"/>
        <w:gridCol w:w="50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(3)</w:t>
            </w:r>
          </w:p>
        </w:tc>
        <w:tc>
          <w:tcPr>
            <w:tcW w:w="500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non-cash charges related to stock-based compensation</w:t>
            </w:r>
          </w:p>
        </w:tc>
      </w:tr>
    </w:tbl>
    <w:tbl>
      <w:tblPr>
        <w:tblW w:w="3963" w:type="dxa"/>
        <w:jc w:val="left"/>
        <w:tblInd w:w="0" w:type="dxa"/>
        <w:tblLayout w:type="fixed"/>
        <w:tblCellMar>
          <w:top w:w="0" w:type="dxa"/>
          <w:left w:w="0" w:type="dxa"/>
          <w:bottom w:w="0" w:type="dxa"/>
          <w:right w:w="0" w:type="dxa"/>
        </w:tblCellMar>
      </w:tblPr>
      <w:tblGrid>
        <w:gridCol w:w="23"/>
        <w:gridCol w:w="23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(4)</w:t>
            </w:r>
          </w:p>
        </w:tc>
        <w:tc>
          <w:tcPr>
            <w:tcW w:w="371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loss related to discontinued operations</w:t>
            </w:r>
          </w:p>
        </w:tc>
      </w:tr>
    </w:tbl>
    <w:tbl>
      <w:tblPr>
        <w:tblW w:w="7773" w:type="dxa"/>
        <w:jc w:val="left"/>
        <w:tblInd w:w="0" w:type="dxa"/>
        <w:tblLayout w:type="fixed"/>
        <w:tblCellMar>
          <w:top w:w="0" w:type="dxa"/>
          <w:left w:w="0" w:type="dxa"/>
          <w:bottom w:w="0" w:type="dxa"/>
          <w:right w:w="0" w:type="dxa"/>
        </w:tblCellMar>
      </w:tblPr>
      <w:tblGrid>
        <w:gridCol w:w="23"/>
        <w:gridCol w:w="230"/>
        <w:gridCol w:w="75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Helvetica;sans-serif" w:hAnsi="Helvetica;sans-serif"/>
                <w:sz w:val="16"/>
              </w:rPr>
            </w:pPr>
            <w:r>
              <w:rPr>
                <w:rFonts w:ascii="Helvetica;sans-serif" w:hAnsi="Helvetica;sans-serif"/>
                <w:sz w:val="16"/>
              </w:rPr>
              <w:t>(5)</w:t>
            </w:r>
          </w:p>
        </w:tc>
        <w:tc>
          <w:tcPr>
            <w:tcW w:w="7520" w:type="dxa"/>
            <w:tcBorders/>
            <w:vAlign w:val="center"/>
          </w:tcPr>
          <w:p>
            <w:pPr>
              <w:pStyle w:val="TableContents"/>
              <w:bidi w:val="0"/>
              <w:spacing w:before="0" w:after="283"/>
              <w:jc w:val="left"/>
              <w:rPr>
                <w:rFonts w:ascii="Helvetica;sans-serif" w:hAnsi="Helvetica;sans-serif"/>
                <w:b w:val="false"/>
                <w:i w:val="false"/>
                <w:caps w:val="false"/>
                <w:smallCaps w:val="false"/>
                <w:sz w:val="16"/>
              </w:rPr>
            </w:pPr>
            <w:r>
              <w:rPr>
                <w:rFonts w:ascii="Helvetica;sans-serif" w:hAnsi="Helvetica;sans-serif"/>
                <w:b w:val="false"/>
                <w:i w:val="false"/>
                <w:caps w:val="false"/>
                <w:smallCaps w:val="false"/>
                <w:sz w:val="16"/>
              </w:rPr>
              <w:t>Represents a loss/(gain) recognized on the disposal of property, plant, and equipment and other assets</w:t>
            </w:r>
          </w:p>
        </w:tc>
      </w:tr>
    </w:tbl>
    <w:p>
      <w:pPr>
        <w:pStyle w:val="TextBody"/>
        <w:bidi w:val="0"/>
        <w:spacing w:before="0" w:after="120"/>
        <w:ind w:left="0" w:right="0" w:hanging="0"/>
        <w:jc w:val="left"/>
        <w:rPr>
          <w:rFonts w:ascii="Helvetica;sans-serif" w:hAnsi="Helvetica;sans-serif"/>
          <w:sz w:val="18"/>
        </w:rPr>
      </w:pPr>
      <w:r>
        <w:rPr>
          <w:rFonts w:ascii="Helvetica;sans-serif" w:hAnsi="Helvetica;sans-serif"/>
          <w:sz w:val="18"/>
        </w:rPr>
        <w:t>Source: XBP Global Holdings, Inc.</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3991</Words>
  <Characters>23450</Characters>
  <CharactersWithSpaces>28061</CharactersWithSpaces>
  <Paragraphs>2077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