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5897d1_s3.htm"/>
      <w:bookmarkStart w:id="1" w:name="kstm2625897d1_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22,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S-3</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XBP GLOBAL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4880"/>
        <w:gridCol w:w="3275"/>
      </w:tblGrid>
      <w:tr>
        <w:trPr/>
        <w:tc>
          <w:tcPr>
            <w:tcW w:w="48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32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85-2002883</w:t>
            </w:r>
          </w:p>
        </w:tc>
      </w:tr>
      <w:tr>
        <w:trPr/>
        <w:tc>
          <w:tcPr>
            <w:tcW w:w="4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6641 N. Belt Line Road, 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Irving, Texas 75063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(844) 935-2832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Andrej Jonovic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6641 N. Belt Line Road, 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Irving, Texas 75063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(844) 935-2832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P. L’Helias, Esq.</w:t>
        <w:br/>
        <w:t>Erik Mengwall,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Baker &amp; Hostetler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 Rockefeller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10154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589-4200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this Registration Statement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neither we nor the selling stockholders are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COMPLETION, DATED SEPTEMBER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2,275,245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7717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stockholders named herein of an aggregate of up to 2,275,245 shares of common stock, par value $0.0001 per share (“Common Stock”) of XBP Global Holdings, Inc. For more information about the selling stockholders and the transactions giving rise to the shares of Common Stock covered by this prospectus, see the section entitled “</w:t>
      </w:r>
      <w:r>
        <w:rPr>
          <w:rFonts w:ascii="Times New Roman;Times;Serif" w:hAnsi="Times New Roman;Times;Serif"/>
          <w:b w:val="false"/>
          <w:i/>
          <w:caps w:val="false"/>
          <w:smallCaps w:val="false"/>
          <w:sz w:val="20"/>
        </w:rPr>
        <w:t>Selling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shares under this prospectus and will not receive any proceeds from the sale of shares of Common Stock by the selling stockholders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covered by this prospectus does not mean that the selling stockholders will offer or sell any of the shares. The selling stockholders may sell the shares of Common Stock covered by this prospectus in a number of different ways and at varying prices. We provide more information about how the selling stockholders may sell the shares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“XBP.” On September 21, 2026, the closing price of our Common Stock on Nasdaq was $3.17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entitled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contained in this prospectus beginning on page 6 and any applicable prospectus supplement, and under similar headings in the other documents that are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regulatory body has approved or disapproved of these securities or passed upon the accuracy or adequacy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245"/>
        <w:gridCol w:w="245"/>
      </w:tblGrid>
      <w:tr>
        <w:trPr/>
        <w:tc>
          <w:tcPr>
            <w:tcW w:w="6245" w:type="dxa"/>
            <w:tcBorders/>
            <w:shd w:fill="CCEEFF" w:val="clear"/>
            <w:vAlign w:val="center"/>
          </w:tcPr>
          <w:p>
            <w:pPr>
              <w:pStyle w:val="TableContents"/>
              <w:bidi w:val="0"/>
              <w:spacing w:before="0" w:after="283"/>
              <w:ind w:left="0" w:right="0" w:hanging="720"/>
              <w:jc w:val="left"/>
              <w:rPr/>
            </w:pPr>
            <w:hyperlink w:anchor="a_002">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ind w:left="0" w:right="0" w:hanging="720"/>
              <w:jc w:val="right"/>
              <w:rPr/>
            </w:pPr>
            <w:hyperlink w:anchor="a_002">
              <w:r>
                <w:rPr>
                  <w:rStyle w:val="InternetLink"/>
                  <w:rFonts w:ascii="Times New Roman;Times;Serif" w:hAnsi="Times New Roman;Times;Serif"/>
                  <w:b w:val="false"/>
                  <w:i w:val="false"/>
                  <w:caps w:val="false"/>
                  <w:smallCaps w:val="false"/>
                  <w:sz w:val="20"/>
                </w:rPr>
                <w:t>4</w:t>
              </w:r>
            </w:hyperlink>
          </w:p>
        </w:tc>
      </w:tr>
      <w:tr>
        <w:trPr/>
        <w:tc>
          <w:tcPr>
            <w:tcW w:w="624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45" w:type="dxa"/>
            <w:tcBorders/>
            <w:shd w:fill="FFFFFF" w:val="clear"/>
            <w:vAlign w:val="center"/>
          </w:tcPr>
          <w:p>
            <w:pPr>
              <w:pStyle w:val="TableContents"/>
              <w:bidi w:val="0"/>
              <w:spacing w:before="0" w:after="283"/>
              <w:ind w:left="0" w:right="0" w:hanging="720"/>
              <w:jc w:val="right"/>
              <w:rPr/>
            </w:pPr>
            <w:hyperlink w:anchor="a_003">
              <w:r>
                <w:rPr>
                  <w:rStyle w:val="InternetLink"/>
                  <w:rFonts w:ascii="Times New Roman;Times;Serif" w:hAnsi="Times New Roman;Times;Serif"/>
                  <w:b w:val="false"/>
                  <w:i w:val="false"/>
                  <w:caps w:val="false"/>
                  <w:smallCaps w:val="false"/>
                  <w:sz w:val="20"/>
                </w:rPr>
                <w:t>4</w:t>
              </w:r>
            </w:hyperlink>
          </w:p>
        </w:tc>
      </w:tr>
      <w:tr>
        <w:trPr/>
        <w:tc>
          <w:tcPr>
            <w:tcW w:w="624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THE COMPANY</w:t>
              </w:r>
            </w:hyperlink>
          </w:p>
        </w:tc>
        <w:tc>
          <w:tcPr>
            <w:tcW w:w="245" w:type="dxa"/>
            <w:tcBorders/>
            <w:shd w:fill="CCEEFF" w:val="clear"/>
            <w:vAlign w:val="center"/>
          </w:tcPr>
          <w:p>
            <w:pPr>
              <w:pStyle w:val="TableContents"/>
              <w:bidi w:val="0"/>
              <w:spacing w:before="0" w:after="283"/>
              <w:ind w:left="0" w:right="0" w:hanging="720"/>
              <w:jc w:val="right"/>
              <w:rPr/>
            </w:pPr>
            <w:hyperlink w:anchor="a_004">
              <w:r>
                <w:rPr>
                  <w:rStyle w:val="InternetLink"/>
                  <w:rFonts w:ascii="Times New Roman;Times;Serif" w:hAnsi="Times New Roman;Times;Serif"/>
                  <w:b w:val="false"/>
                  <w:i w:val="false"/>
                  <w:caps w:val="false"/>
                  <w:smallCaps w:val="false"/>
                  <w:sz w:val="20"/>
                </w:rPr>
                <w:t>5</w:t>
              </w:r>
            </w:hyperlink>
          </w:p>
        </w:tc>
      </w:tr>
      <w:tr>
        <w:trPr/>
        <w:tc>
          <w:tcPr>
            <w:tcW w:w="624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ind w:left="0" w:right="0" w:hanging="720"/>
              <w:jc w:val="right"/>
              <w:rPr/>
            </w:pPr>
            <w:hyperlink w:anchor="a_005">
              <w:r>
                <w:rPr>
                  <w:rStyle w:val="InternetLink"/>
                  <w:rFonts w:ascii="Times New Roman;Times;Serif" w:hAnsi="Times New Roman;Times;Serif"/>
                  <w:b w:val="false"/>
                  <w:i w:val="false"/>
                  <w:caps w:val="false"/>
                  <w:smallCaps w:val="false"/>
                  <w:sz w:val="20"/>
                </w:rPr>
                <w:t>6</w:t>
              </w:r>
            </w:hyperlink>
          </w:p>
        </w:tc>
      </w:tr>
      <w:tr>
        <w:trPr/>
        <w:tc>
          <w:tcPr>
            <w:tcW w:w="624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ind w:left="0" w:right="0" w:hanging="720"/>
              <w:jc w:val="right"/>
              <w:rPr/>
            </w:pPr>
            <w:hyperlink w:anchor="a_006">
              <w:r>
                <w:rPr>
                  <w:rStyle w:val="InternetLink"/>
                  <w:rFonts w:ascii="Times New Roman;Times;Serif" w:hAnsi="Times New Roman;Times;Serif"/>
                  <w:b w:val="false"/>
                  <w:i w:val="false"/>
                  <w:caps w:val="false"/>
                  <w:smallCaps w:val="false"/>
                  <w:sz w:val="20"/>
                </w:rPr>
                <w:t>6</w:t>
              </w:r>
            </w:hyperlink>
          </w:p>
        </w:tc>
      </w:tr>
      <w:tr>
        <w:trPr/>
        <w:tc>
          <w:tcPr>
            <w:tcW w:w="624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SELLING STOCKHOLDERS</w:t>
              </w:r>
            </w:hyperlink>
          </w:p>
        </w:tc>
        <w:tc>
          <w:tcPr>
            <w:tcW w:w="245" w:type="dxa"/>
            <w:tcBorders/>
            <w:shd w:fill="FFFFFF" w:val="clear"/>
            <w:vAlign w:val="center"/>
          </w:tcPr>
          <w:p>
            <w:pPr>
              <w:pStyle w:val="TableContents"/>
              <w:bidi w:val="0"/>
              <w:spacing w:before="0" w:after="283"/>
              <w:ind w:left="0" w:right="0" w:hanging="720"/>
              <w:jc w:val="right"/>
              <w:rPr/>
            </w:pPr>
            <w:hyperlink w:anchor="a_007">
              <w:r>
                <w:rPr>
                  <w:rStyle w:val="InternetLink"/>
                  <w:rFonts w:ascii="Times New Roman;Times;Serif" w:hAnsi="Times New Roman;Times;Serif"/>
                  <w:b w:val="false"/>
                  <w:i w:val="false"/>
                  <w:caps w:val="false"/>
                  <w:smallCaps w:val="false"/>
                  <w:sz w:val="20"/>
                </w:rPr>
                <w:t>6</w:t>
              </w:r>
            </w:hyperlink>
          </w:p>
        </w:tc>
      </w:tr>
      <w:tr>
        <w:trPr/>
        <w:tc>
          <w:tcPr>
            <w:tcW w:w="624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SECURITIES</w:t>
              </w:r>
            </w:hyperlink>
          </w:p>
        </w:tc>
        <w:tc>
          <w:tcPr>
            <w:tcW w:w="245" w:type="dxa"/>
            <w:tcBorders/>
            <w:shd w:fill="CCEEFF" w:val="clear"/>
            <w:vAlign w:val="center"/>
          </w:tcPr>
          <w:p>
            <w:pPr>
              <w:pStyle w:val="TableContents"/>
              <w:bidi w:val="0"/>
              <w:spacing w:before="0" w:after="283"/>
              <w:ind w:left="0" w:right="0" w:hanging="720"/>
              <w:jc w:val="right"/>
              <w:rPr/>
            </w:pPr>
            <w:hyperlink w:anchor="a_008">
              <w:r>
                <w:rPr>
                  <w:rStyle w:val="InternetLink"/>
                  <w:rFonts w:ascii="Times New Roman;Times;Serif" w:hAnsi="Times New Roman;Times;Serif"/>
                  <w:b w:val="false"/>
                  <w:i w:val="false"/>
                  <w:caps w:val="false"/>
                  <w:smallCaps w:val="false"/>
                  <w:sz w:val="20"/>
                </w:rPr>
                <w:t>6</w:t>
              </w:r>
            </w:hyperlink>
          </w:p>
        </w:tc>
      </w:tr>
      <w:tr>
        <w:trPr/>
        <w:tc>
          <w:tcPr>
            <w:tcW w:w="624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ind w:left="0" w:right="0" w:hanging="720"/>
              <w:jc w:val="right"/>
              <w:rPr/>
            </w:pPr>
            <w:hyperlink w:anchor="a_009">
              <w:r>
                <w:rPr>
                  <w:rStyle w:val="InternetLink"/>
                  <w:rFonts w:ascii="Times New Roman;Times;Serif" w:hAnsi="Times New Roman;Times;Serif"/>
                  <w:b w:val="false"/>
                  <w:i w:val="false"/>
                  <w:caps w:val="false"/>
                  <w:smallCaps w:val="false"/>
                  <w:sz w:val="20"/>
                </w:rPr>
                <w:t>13</w:t>
              </w:r>
            </w:hyperlink>
          </w:p>
        </w:tc>
      </w:tr>
      <w:tr>
        <w:trPr/>
        <w:tc>
          <w:tcPr>
            <w:tcW w:w="624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right"/>
              <w:rPr/>
            </w:pPr>
            <w:hyperlink w:anchor="a_010">
              <w:r>
                <w:rPr>
                  <w:rStyle w:val="InternetLink"/>
                  <w:rFonts w:ascii="Times New Roman;Times;Serif" w:hAnsi="Times New Roman;Times;Serif"/>
                  <w:b w:val="false"/>
                  <w:i w:val="false"/>
                  <w:caps w:val="false"/>
                  <w:smallCaps w:val="false"/>
                  <w:sz w:val="20"/>
                </w:rPr>
                <w:t>17</w:t>
              </w:r>
            </w:hyperlink>
          </w:p>
        </w:tc>
      </w:tr>
      <w:tr>
        <w:trPr/>
        <w:tc>
          <w:tcPr>
            <w:tcW w:w="624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ind w:left="0" w:right="0" w:hanging="720"/>
              <w:jc w:val="right"/>
              <w:rPr/>
            </w:pPr>
            <w:hyperlink w:anchor="a_011">
              <w:r>
                <w:rPr>
                  <w:rStyle w:val="InternetLink"/>
                  <w:sz w:val="20"/>
                </w:rPr>
                <w:t>17</w:t>
              </w:r>
            </w:hyperlink>
          </w:p>
        </w:tc>
      </w:tr>
      <w:tr>
        <w:trPr/>
        <w:tc>
          <w:tcPr>
            <w:tcW w:w="624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WHERE YOU CAN FIND ADDITIONAL INFORMATION</w:t>
              </w:r>
            </w:hyperlink>
          </w:p>
        </w:tc>
        <w:tc>
          <w:tcPr>
            <w:tcW w:w="245" w:type="dxa"/>
            <w:tcBorders/>
            <w:shd w:fill="CCEEFF" w:val="clear"/>
            <w:vAlign w:val="center"/>
          </w:tcPr>
          <w:p>
            <w:pPr>
              <w:pStyle w:val="TableContents"/>
              <w:bidi w:val="0"/>
              <w:spacing w:before="0" w:after="283"/>
              <w:ind w:left="0" w:right="0" w:hanging="720"/>
              <w:jc w:val="right"/>
              <w:rPr/>
            </w:pPr>
            <w:hyperlink w:anchor="a_012">
              <w:r>
                <w:rPr>
                  <w:rStyle w:val="InternetLink"/>
                  <w:rFonts w:ascii="Times New Roman;Times;Serif" w:hAnsi="Times New Roman;Times;Serif"/>
                  <w:b w:val="false"/>
                  <w:i w:val="false"/>
                  <w:caps w:val="false"/>
                  <w:smallCaps w:val="false"/>
                  <w:sz w:val="20"/>
                </w:rPr>
                <w:t>18</w:t>
              </w:r>
            </w:hyperlink>
          </w:p>
        </w:tc>
      </w:tr>
      <w:tr>
        <w:trPr/>
        <w:tc>
          <w:tcPr>
            <w:tcW w:w="624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FFFFFF" w:val="clear"/>
            <w:vAlign w:val="center"/>
          </w:tcPr>
          <w:p>
            <w:pPr>
              <w:pStyle w:val="TableContents"/>
              <w:bidi w:val="0"/>
              <w:spacing w:before="0" w:after="283"/>
              <w:jc w:val="right"/>
              <w:rPr/>
            </w:pPr>
            <w:hyperlink w:anchor="a_013">
              <w:r>
                <w:rPr>
                  <w:rStyle w:val="InternetLink"/>
                  <w:rFonts w:ascii="Times New Roman;Times;Serif" w:hAnsi="Times New Roman;Times;Serif"/>
                  <w:b w:val="false"/>
                  <w:i w:val="false"/>
                  <w:caps w:val="false"/>
                  <w:smallCaps w:val="false"/>
                  <w:sz w:val="20"/>
                </w:rPr>
                <w:t>18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2"/>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using the “shelf” registration process. Under this shelf registration process, the selling stockholders may, from time to time, sell the securities offered by them described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and any related free writing prospectus together with the additional information to which we refer you in the sections of this prospectus entitled “Where You Can Find Additional Information” and “Incorporation of Certain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references in this prospectus to “we,” “us,” “our,” “XBP Global,” or the “Company” refer to XBP Global Holdings,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3"/>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prospectus supplement and the documents incorporated by reference herein each contain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any prospectus supplement and the documents incorporated by reference herein are forward-looking statements. These statements are based on the current beliefs and assumptions of our management and are not predictions of actual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generally are accompanied by words such as “may,” “should,” “would,” “plan,” “intend,” “anticipate,” “believe,” “estimate,” “predict,” “potential,” “seem,” “seek,” “continue,” “future,” “will,” “expect,” “outlook” and similar words, phrases or expressions. These forward-looking statements include statements regarding our industry, future events, strategy, plans, intentions, expectations, anticipated future results and other statements that are not historical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results, performance or achievements may differ materially from those expressed or implied by forward-looking statements. Important factors and uncertainties that could cause actual results to differ materially include, among others: our future financial performance, expenditures, revenue mix and gross margins; our history of losses and failure to achieve profitability in the future or failure of our business to generate sufficient funds to continue operations; political and economic conditions and their effect on demand for our services; our ability to meet Nasdaq continued listing standards; our ability to maintain an effective system of internal control over financial reporting, and to address and remediate any material weaknesses in our internal control over financial reporting; cybersecurity and data privacy incidents; competition and alternatives to our services; our ability to respond to technological developments; terrorism, natural disasters and similar events; legislative and regulatory developments in the United States and internationally; operational failures and the unavailability or failure of third-party services on which we rely; and intellectual property infringement and other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4</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are not exhaustive. These forward-looking statements are based on information available as of the date they are made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 There may be events in the future that the Company is not able to predict accurately or over which it has no control. See “Part I-Item 1A. Risk Factors” and “Management’s Discussion and Analysis of Financial Condition and Results of Operations” in our Annual Report on Form 10-K for the year ended December 31, 2025, filed with the SEC on March 31, 2026 (the “2025 Annual Report”), and the other cautionary language discussed in this prospectus, any prospectus supplement and the documents incorporated herein for examples of risks, uncertainties and events that may cause actual results to differ materially from the expectations described by the Company in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4"/>
      <w:bookmarkEnd w:id="4"/>
      <w:r>
        <w:rPr>
          <w:rFonts w:ascii="Times New Roman;Times;Serif" w:hAnsi="Times New Roman;Times;Serif"/>
          <w:b/>
          <w:i w:val="false"/>
          <w:caps w:val="false"/>
          <w:smallCaps w:val="false"/>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XBP Global is a multinational technology and services company powering intelligent workflows for organizations worldwide. Our proprietary platforms and agentic AI-driven automation enable our clients to entrust us with their most impactful digital transformations and mission-critical operations. Our operational foundation is further defined by deep domain expertise across industries and the public and private sectors, including decades of experience helping clients navigate shifting global regulatory frameworks and supporting compliance with the rigorous standards required by government entities and highly scrutinized industries, including banking, healthcare and insurance. We pair this expertise with platform-agnostic, end-to-end structured workflows that combine AI-driven automation with dedicated human-in-the-loop exception handling and orchestration software, enabling our clients to transition from labor-intensive, reactive operations to digitally orchestrated, exception-driven workflows. From enabling payment gateways and data exchanges across multiple systems, to matching inputs against contracts and handling exceptions, to ultimately depositing payments and distributing communications, our solutions address the full life cycle of transaction processing and enterprise information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services through two reportable segments. Our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Our Technology segment primarily focuses on sales of recurring software licenses and related maintenance, hardware solutions and related maintenance and professional services. As of June 30, 2026, we had approximately 9,200 employees in 20 countries operating either remotely from our business facilities or co-located at our clients’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business, financial condition, results of operations and other important information regarding the Company, we refer you to our filings with the SEC incorporated by reference in this prospectus.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Delaware on July 8, 2020, as CF Acquisition Corp. VIII, a blank check company formed to effect a business combination with one or more businesses. On November 30, 2023, we completed our initial business combination with XBP Europe, Inc. and changed our name to XBP Europe Holdings, Inc. On July 29, 2025, we finalized the acquisition of Exela Technologies BPA, LLC (now known as XBP Americas, LLC), and changed our name to XBP Global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6641 N. Belt Line Road, Suite 100, Irving, Texas 75063, and our telephone number is (844) 935-2832. Our website address is www.xbpglobal.com. Information contained on, or accessible through, our website is not incorporated by reference into this prospectus and should not be considered part of this prospectus, except as is specifically referenced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5</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5"/>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Before investing in our securities, you should carefully consider the risk factors incorporated by reference into this prospectus, including the risks, uncertainties and assumptions discussed under the heading “Part I-Item 1A. Risk Factors” in our 2025 Annual Report, which may be amended, supplemented or superseded from time to time by the other reports we file with the SEC in the future or by information in the applicable prospectus supplement and any applicable free writing prospectus we file with the SEC. Please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Additional risks and uncertainties not currently known to us or that we currently view as immaterial may also materially and adversely affect our business, financial condition or results of operations. The market price of our Common Stock could decline if one or more of these risks or uncertainties actually occur, causing you to lose all or part of your investment in our securities. Please see “</w:t>
      </w:r>
      <w:r>
        <w:rPr>
          <w:rFonts w:ascii="Times New Roman;Times;Serif" w:hAnsi="Times New Roman;Times;Serif"/>
          <w:b w:val="false"/>
          <w:i/>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6"/>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the selling stockholders pursuant to this prospectus will be sold by the selling stockholders for their own accounts. We will not receive any proceeds from the sale of shares by the selling stockholders. The selling stockholders will pay any underwriting discounts and commissions and transfer taxes attributable to their sales. We will bear the expenses incurred in connection with the registration of the shares covered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7"/>
      <w:bookmarkEnd w:id="7"/>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On September 11, 2026, we entered into securities purchase agreements with certain investors for the sale in a private placement of an aggregate of 2,275,245 shares of Common Stock. The private placement closed on September 15, 2026. We are registering the resale of the shares pursuant to registration rights agreements entered into with the purchasers in connection with the private placement. For additional information regarding the private placement and the registration rights agreements, see our </w:t>
      </w:r>
      <w:hyperlink r:id="rId3">
        <w:r>
          <w:rPr>
            <w:rStyle w:val="InternetLink"/>
            <w:rFonts w:ascii="Times New Roman;Times;Serif" w:hAnsi="Times New Roman;Times;Serif"/>
            <w:b w:val="false"/>
            <w:i w:val="false"/>
            <w:caps w:val="false"/>
            <w:smallCaps w:val="false"/>
            <w:sz w:val="20"/>
          </w:rPr>
          <w:t>Current Report on Form 8-K filed with the SEC on September 14, 2026</w:t>
        </w:r>
      </w:hyperlink>
      <w:r>
        <w:rPr>
          <w:rFonts w:ascii="Times New Roman;Times;Serif" w:hAnsi="Times New Roman;Times;Serif"/>
          <w:b w:val="false"/>
          <w:i w:val="false"/>
          <w:caps w:val="false"/>
          <w:smallCaps w:val="false"/>
          <w:sz w:val="20"/>
        </w:rPr>
        <w:t>, which is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an aggregate of 2,275,245 shares of our Common Stock. The selling stockholders may from time to time offer and sell any or all of the securities set forth below pursuant to this prospectus and any accompanying prospectus supplement. When we refer to the “selling stockholders” in this prospectus, we mean the persons listed in the table below, and the pledgees, donees, transferees, assignees, successors, designees, and other permitted transferees who later come to hold any of the selling stockholders’ interests in the securities other than through a public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to our knowledge, certain information about the selling stockholders as of September 21, 2026. The information in the table below with respect to the selling stockholders has been obtained from the selling stockholders based on written representations. Each selling stockholder identified below may have sold, transferred or otherwise disposed of all or a portion of its securities after the date on which it provided us with information regarding its securities or acquired additional securities. To the extent required, any changed or new information given to us by the selling stockholders, including regarding the identity of, and the securities available for sale by, the selling stockholders, may be set forth in a prospectus supplement, amendments to the registration statement of which this prospectus is a part or in filings we make with the SEC under the Exchange Act, which are incorporated by reference. For information on the methods of sale that may be used by the selling stockholders, please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The beneficial ownership amounts and percentages shown below are based on 14,156,584 shares of Common Stock outstanding as of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6</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it possesses sole or shared voting or investment power over that security, including options and warrants that are currently exercisable or exercisable within 60 days. Unless otherwise indicated below, to our knowledge, the persons and entities named in the tables have sole voting and sole investment power with respect to all securities that they beneficially own, subject to community property laws where applicable, and unless directly owned by the selling stockholder, we have not included other shares that may be deemed to be owned by a common beneficial owner, in the number of securities beneficially owned prior to or after the offering. For purposes of this table, we have assumed that the selling stockholders will have sold all of the securities covered by this prospectus upon the completion of the resale offering and no other purchases or sales of our securities by the selling stockholders will have occurred.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6"/>
        <w:gridCol w:w="60"/>
        <w:gridCol w:w="93"/>
        <w:gridCol w:w="1321"/>
        <w:gridCol w:w="93"/>
        <w:gridCol w:w="93"/>
        <w:gridCol w:w="208"/>
        <w:gridCol w:w="955"/>
        <w:gridCol w:w="185"/>
        <w:gridCol w:w="60"/>
        <w:gridCol w:w="96"/>
        <w:gridCol w:w="1126"/>
        <w:gridCol w:w="60"/>
        <w:gridCol w:w="60"/>
        <w:gridCol w:w="82"/>
        <w:gridCol w:w="890"/>
        <w:gridCol w:w="75"/>
        <w:gridCol w:w="75"/>
        <w:gridCol w:w="158"/>
        <w:gridCol w:w="727"/>
        <w:gridCol w:w="172"/>
      </w:tblGrid>
      <w:tr>
        <w:trPr/>
        <w:tc>
          <w:tcPr>
            <w:tcW w:w="36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Beneficially</w:t>
              <w:br/>
              <w:t>Owned Prior to this Offering</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br/>
              <w:t>Number</w:t>
              <w:br/>
              <w:t>of</w:t>
              <w:br/>
              <w:t>Securities to be</w:t>
              <w:br/>
              <w:t>Offered</w:t>
              <w:br/>
              <w:t>Pursuant to this</w:t>
              <w:br/>
              <w:t>Prospectus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br/>
              <w:t>Beneficially Owned</w:t>
              <w:br/>
              <w:t>after Offering</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w:t>
              <w:br/>
              <w:t>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w:t>
              <w:br/>
              <w:t>Common Stock</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1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 of </w:t>
              <w:br/>
              <w:t>Common Stock</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w:t>
              <w:b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br/>
              <w:t>Common</w:t>
              <w:br/>
              <w:t>Stock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 of </w:t>
              <w:br/>
              <w:t>Common</w:t>
              <w:br/>
              <w:t>Stock</w:t>
            </w:r>
          </w:p>
        </w:tc>
        <w:tc>
          <w:tcPr>
            <w:tcW w:w="172"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6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Alyeska Master Fund, L.P.</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784,313</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784,313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6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Avenue Global Dislocation Opportunities Fund, L.P.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610,498</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408,211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72"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Avenue Global Opportunities Master Fund LP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218,484</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72"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Avenue RP Opportunities Fund, L.P.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981,807</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656,488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72"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HCI, LLC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204,946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6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Fitzgerald Securities </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1,014,197</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818,119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172"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Citadel CEMF Investments Ltd. </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392,156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392,156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6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 Beilinson </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6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Andrej Jonovic </w:t>
            </w:r>
            <w:r>
              <w:rPr>
                <w:rFonts w:ascii="Times New Roman;Times;Serif" w:hAnsi="Times New Roman;Times;Serif"/>
                <w:b w:val="false"/>
                <w:i w:val="false"/>
                <w:caps w:val="false"/>
                <w:smallCaps w:val="false"/>
                <w:position w:val="7"/>
                <w:sz w:val="16"/>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194,700</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72"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Dejan Avramovic </w:t>
            </w:r>
            <w:r>
              <w:rPr>
                <w:rFonts w:ascii="Times New Roman;Times;Serif" w:hAnsi="Times New Roman;Times;Serif"/>
                <w:b w:val="false"/>
                <w:i w:val="false"/>
                <w:caps w:val="false"/>
                <w:smallCaps w:val="false"/>
                <w:position w:val="7"/>
                <w:sz w:val="16"/>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44,812</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2"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6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Lakshmi Narayanan Chandramohan </w:t>
            </w:r>
            <w:r>
              <w:rPr>
                <w:rFonts w:ascii="Times New Roman;Times;Serif" w:hAnsi="Times New Roman;Times;Serif"/>
                <w:b w:val="false"/>
                <w:i w:val="false"/>
                <w:caps w:val="false"/>
                <w:smallCaps w:val="false"/>
                <w:position w:val="7"/>
                <w:sz w:val="16"/>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8,031</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2"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6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Chinmaya Kinshuk </w:t>
            </w:r>
            <w:r>
              <w:rPr>
                <w:rFonts w:ascii="Times New Roman;Times;Serif" w:hAnsi="Times New Roman;Times;Serif"/>
                <w:b w:val="false"/>
                <w:i w:val="false"/>
                <w:caps w:val="false"/>
                <w:smallCaps w:val="false"/>
                <w:position w:val="7"/>
                <w:sz w:val="16"/>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one percent</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left"/>
              <w:rPr/>
            </w:pPr>
            <w:r>
              <w:rPr/>
              <w:t>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The registered address of Alyeska Master Fund, L.P. is at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283"/>
              <w:jc w:val="left"/>
              <w:rPr/>
            </w:pPr>
            <w:r>
              <w:rPr/>
              <w:t>Includes (i) 408,211 shares beneficially owned before the private placement and 202,287 shares purchased in the private placement by Avenue Global Dislocation Opportunities Fund, L.P., (ii) 146,090 shares beneficially owned before the private placement and 72,394 shares purchased in the private placement by Avenue Global Opportunities Master Fund LP and (iii) 656,488 shares beneficially owned before the private placement and 325,319 shares purchased in the private placement by Avenue RP Opportunities Fund, L.P. Avenue Global Dislocation Opportunities GenPar, LLC is the general partner of Avenue Global Dislocation Opportunities Fund, L.P., and GL Global Dislocation Opportunities Partners, LLC is the managing member of such general partner. Avenue Global Opportunities GenPar Holdings Ltd is the general partner of Avenue Global Opportunities Master Fund LP, and Avenue Global Opportunities GenPar, LLC is the sole shareholder of such general partner. Avenue RP Opportunities Fund GenPar, LLC is the general partner of Avenue RP Opportunities Fund, L.P., and GL RP Partners, LLC is the managing member of such general partner. Avenue Capital Management II, L.P. is a registered investment adviser and the manager of Avenue Global Dislocation Opportunities Fund, L.P. and Avenue Global Opportunities Master Fund LP, and has sole voting and dispositive power over the securities held by such funds. Avenue Europe International Management, L.P. is a registered investment adviser and the manager of Avenue RP Opportunities Fund, L.P., and has sole voting and dispositive power over the securities held by such fund. Marc Lasry is the managing member of GL Global Dislocation Opportunities Partners, LLC, Avenue Global Opportunities GenPar, LLC and GL RP Partners, LLC. Mr. Lasry does not have voting or dispositive power over securities held by the Avenue funds and disclaims beneficial ownership of securities held by such funds, except to the extent of any pecuniary interest therein. Each of the foregoing entities disclaims beneficial ownership of the reported shares except to the extent of any pecuniary interest therein. The business address of each such entity is c/o Avenue Capital Group, 11 West 42nd Street, 9th Floor, New York, New York 10036.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7</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283"/>
              <w:jc w:val="left"/>
              <w:rPr/>
            </w:pPr>
            <w:r>
              <w:rPr/>
              <w:t>HCI, LLC is an affiliate of HGM Limited and has voting and investment control over the reported shares. Par Chadha is the Chairman of HGM and may be deemed to be the beneficial owner of such shares. The business address of HCI, LLC is c/o CO Services Cayman Limited, P.O. Box 10008, Pavilion East, Cricket Square, Grand Cayman, Cayman Islands KY1-1001.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283"/>
              <w:jc w:val="left"/>
              <w:rPr/>
            </w:pPr>
            <w:r>
              <w:rPr/>
              <w:t>Includes 196,078 shares purchased in the private placement by Cantor Fitzgerald Securities and 804,940 shares beneficially owned by affiliated entities of Cantor Fitzgerald, L.P. before the private placement. CFAC Holdings VIII, LLC is deemed to beneficially own 606,440 shares of Common Stock, and Cantor Fitzgerald &amp; Co. is deemed to beneficially own 211,679 shares of Common Stock. Cantor Fitzgerald, L.P. is the sole member of CFAC Holdings VIII, LLC and the indirect holder of a majority of the equity interests of Cantor Fitzgerald &amp; Co. CF Group Management, Inc. is the managing general partner of Cantor Fitzgerald, L.P. Brandon Lutnick is the Chairman and Chief Executive Officer of CFAC Holdings VIII, LLC, Cantor Fitzgerald, L.P. and CF Group Management, Inc. and may be deemed to beneficially own the reported shares. Each such person disclaims beneficial ownership except to the extent of any pecuniary interest therein. The business address of Cantor Fitzgerald Securities is c/o Cantor Fitzgerald &amp; Co., 110 East 59th Street, New York, New York 10022.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46" w:type="dxa"/>
            <w:tcBorders/>
            <w:vAlign w:val="center"/>
          </w:tcPr>
          <w:p>
            <w:pPr>
              <w:pStyle w:val="TableContents"/>
              <w:bidi w:val="0"/>
              <w:spacing w:before="0" w:after="283"/>
              <w:jc w:val="left"/>
              <w:rPr/>
            </w:pPr>
            <w:r>
              <w:rPr>
                <w:rFonts w:ascii="Times New Roman;Times;Serif" w:hAnsi="Times New Roman;Times;Serif"/>
              </w:rPr>
              <w:t xml:space="preserve">Consists of </w:t>
            </w:r>
            <w:r>
              <w:rPr/>
              <w:t>392,156 shares held directly by Citadel CEMF Investments Ltd.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(6)</w:t>
            </w:r>
          </w:p>
        </w:tc>
        <w:tc>
          <w:tcPr>
            <w:tcW w:w="9892" w:type="dxa"/>
            <w:tcBorders/>
            <w:vAlign w:val="center"/>
          </w:tcPr>
          <w:p>
            <w:pPr>
              <w:pStyle w:val="TableContents"/>
              <w:bidi w:val="0"/>
              <w:spacing w:before="0" w:after="283"/>
              <w:jc w:val="left"/>
              <w:rPr/>
            </w:pPr>
            <w:r>
              <w:rPr/>
              <w:t>Marc Beilinson may be contacted c/o XBP Global Holdings, Inc., 6641 N. Belt Line Road, Suite 100, Irving, Texas 75063.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(7)</w:t>
            </w:r>
          </w:p>
        </w:tc>
        <w:tc>
          <w:tcPr>
            <w:tcW w:w="9932" w:type="dxa"/>
            <w:tcBorders/>
            <w:vAlign w:val="center"/>
          </w:tcPr>
          <w:p>
            <w:pPr>
              <w:pStyle w:val="TableContents"/>
              <w:bidi w:val="0"/>
              <w:spacing w:before="0" w:after="283"/>
              <w:jc w:val="left"/>
              <w:rPr/>
            </w:pPr>
            <w:r>
              <w:rPr/>
              <w:t>Includes 31,500 shares purchased in the private placement. The beneficial ownership figures reported exclude 50,000 unvested restricted stock units that are not scheduled to vest within 60 days. The business address of Andrej Jonovic is c/o XBP Global Holdings, Inc., 6641 N. Belt Line Road, Suite 100, Irving, Texas 75063.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(8)</w:t>
            </w:r>
          </w:p>
        </w:tc>
        <w:tc>
          <w:tcPr>
            <w:tcW w:w="9936" w:type="dxa"/>
            <w:tcBorders/>
            <w:vAlign w:val="center"/>
          </w:tcPr>
          <w:p>
            <w:pPr>
              <w:pStyle w:val="TableContents"/>
              <w:bidi w:val="0"/>
              <w:spacing w:before="0" w:after="283"/>
              <w:jc w:val="left"/>
              <w:rPr/>
            </w:pPr>
            <w:r>
              <w:rPr/>
              <w:t>Includes 8,833 shares purchased in the private placement and 35,979 shares beneficially owned before the private placement. The beneficial ownership figures reported exclude 49,256 unvested restricted stock units that are not scheduled to vest within 60 days. The business address of Dejan Avramovic is c/o XBP Global Holdings, Inc., 6641 N. Belt Line Road, Suite 100, Irving, Texas 75063.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(9)</w:t>
            </w:r>
          </w:p>
        </w:tc>
        <w:tc>
          <w:tcPr>
            <w:tcW w:w="9937" w:type="dxa"/>
            <w:tcBorders/>
            <w:vAlign w:val="center"/>
          </w:tcPr>
          <w:p>
            <w:pPr>
              <w:pStyle w:val="TableContents"/>
              <w:bidi w:val="0"/>
              <w:spacing w:before="0" w:after="283"/>
              <w:jc w:val="left"/>
              <w:rPr/>
            </w:pPr>
            <w:r>
              <w:rPr/>
              <w:t>Includes 3,533 shares purchased in the private placement and 4,498 shares beneficially owned before the private placement. The beneficial ownership figures reported exclude 12,500 unvested restricted stock units that are not scheduled to vest within 60 days. The business address of Lakshmi Narayanan Chandramohan is c/o XBP Global Holdings, Inc., 6641 N. Belt Line Road, Suite 100, Irving, Texas 75063.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2"/>
        <w:gridCol w:w="9795"/>
      </w:tblGrid>
      <w:tr>
        <w:trPr/>
        <w:tc>
          <w:tcPr>
            <w:tcW w:w="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(10)</w:t>
            </w:r>
          </w:p>
        </w:tc>
        <w:tc>
          <w:tcPr>
            <w:tcW w:w="9795" w:type="dxa"/>
            <w:tcBorders/>
            <w:vAlign w:val="center"/>
          </w:tcPr>
          <w:p>
            <w:pPr>
              <w:pStyle w:val="TableContents"/>
              <w:bidi w:val="0"/>
              <w:spacing w:before="0" w:after="283"/>
              <w:jc w:val="left"/>
              <w:rPr/>
            </w:pPr>
            <w:r>
              <w:rPr/>
              <w:t>Includes 883 shares purchased in the private placement. The business address of Chinmaya Kinshuk is c/o XBP Global Holdings, Inc., 6641 N. Belt Line Road, Suite 100, Irving, Texas 75063.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8</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Material Relationships and Transactions with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we entered into securities purchase agreements with certain accredited investors pursuant to which we agreed to issue and sell an aggregate of 2,275,245 shares of Common Stock in a private placement. The shares were sold at a weighted average purchase price of approximately $2.66 per share, for aggregate gross proceeds of approximately $6.05 million, before deducting placement agent fees and other offering expenses. Certain purchasers acquired shares at $2.83 per share, the consolidated closing bid price of the Common Stock immediately preceding entry into the securities purchase agreements, and the remaining purchasers acquired shares at $2.55 per share. The private placement closed on September 15, 2026. The shares were offered and sold in reliance on the exemption from registration provided by Section 4(a)(2) of the Securities Act and/or Rule 506 of Regulation 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entered into registration rights agreements with the purchasers pursuant to which we agreed to file, no later than September 22, 2026, a registration statement covering the resale of the shares and to use commercially reasonable efforts to have the registration statement declared effective as soon as reasonably practicable after filing. The securities purchase agreements and the registration rights agreements are described in our Current Report on Form 8-K filed with the SEC on September 14, 2026 and are filed as Exhibits 10.1 and 10.2 thereto, respectively. The foregoing descriptions are qualified in their entirety by reference to those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 acted as placement agent in connection with the private placement and received a cash fee of $500,000 for its services. Cantor Fitzgerald Securities also purchased 196,078 shares in the private placement as an investor. Cantor Fitzgerald, L.P. and affiliated entities, taken together, beneficially owned more than 5% of our outstanding Common Stock before the private placement. In addition, CF Acquisition Corp. VIII, an entity affiliated with Cantor Fitzgerald, L.P., was the special purpose acquisition company that completed the business combination through which the Company became publicly traded in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Avenue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Avenue Capital and its affiliated funds beneficially owned more than 5% of our outstanding Common Stock before the private placement. Randal Klein, a member of our Board, is employed by an affiliate of Avenue Capital. Avenue-affiliated funds have also held a portion of our July 2030 Notes and have been lenders under our Super Senior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and 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Andrej Jonovic is our Chief Executive Officer, Dejan Avramovic is our Chief Financial Officer, Lakshmi Narayanan Chandramohan is our President, Bills &amp; Payments, Americas, and Chinmaya Kinshuk is a Senior Vice President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HCI, LLC is a subsidiary of HGM Limited, an Indian public company. Par S. Chadha is the Chairman of HGM Limited and the Chairman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Beilinson previously served as an advisor to subsidiaries of the Company in connection with restructuring and other matters but no longer serves in that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9</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8"/>
      <w:bookmarkEnd w:id="8"/>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400,000,000 shares of Common Stock and 20,000,000 shares of preferred stock, par value $0.0001 per share, 60,000 of which have been designated Series A Participating Preferred Stock (“Series A Preferred Stock”). The following is a summary of the material terms of our Common Stock and certain related provisions of our Third Amended and Restated Certificate of Incorporation, as amended (our “Charter”), our Second Amended and Restated Bylaws (our “Bylaws”), the Certificate of Designations of Series A Participating Preferred Stock, the Shareholder Rights Agreement described below and the Delaware General Corporation Law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21, 2026, there were 14,156,584 shares of Common Stock outstanding that were held by approximately 273 holders of record. The number of holders of record does not include a substantially greater number of “street name” holders or beneficial holders, whose shares of record are held by banks, brokers and other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xml:space="preserve"> Each holder of Common Stock will be entitled to one (1) vote in person or by proxy for each share of the Common Stock held of record by such holder. The holders of shares of Common Stock will not have cumulative voting rights. Except as otherwise required in our Charter or by applicable law, the holders of the Common Stock vote together as a single class on all matters on which stockholders are generally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xml:space="preserve"> Subject to applicable law and the rights, if any, of the holders of any outstanding series of the preferred stock, the holders of shares of Common Stock will be entitled to receive such dividends and other distributions (payable in cash, property or capital stock of the Company) when, as and if declared thereon by the Board of Directors, or the Board, from time to time out of any assets or funds of the Company legally available therefor and shall share equally on a per share basis in such dividends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xml:space="preserve"> Subject to the applicable law and the rights, if any, of the holders of any outstanding series of the preferred stock of the Company, in the event of a voluntary or involuntary liquidation, dissolution or winding up of the Company, after payment or provision for payment of the debts and other liabilities of the Company, the holders of shares of Common Stock will be entitled to receive all of the remaining assets of the Company available for distribution to its stockholders, ratably in proportion to the number of shares of Common Stock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 and Preferences.</w:t>
      </w:r>
      <w:r>
        <w:rPr>
          <w:rFonts w:ascii="Times New Roman;Times;Serif" w:hAnsi="Times New Roman;Times;Serif"/>
          <w:b w:val="false"/>
          <w:i w:val="false"/>
          <w:caps w:val="false"/>
          <w:smallCaps w:val="false"/>
          <w:sz w:val="20"/>
        </w:rPr>
        <w:t xml:space="preserve"> Shares of our Common Stock have no preemptive rights, no conversion rights, no redemption or sinking fund provisions, and are not liable for further call or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the authority, without further action by the stockholders, to issue shares of preferred stock from time to time, to establish one or more series of preferred stock and to fix the designations, preferences, rights, qualifications, limitations and restrictions of each series. The issuance of preferred stock could decrease the trading price of our Common Stock, restrict dividends, dilute voting power, impair liquidation rights or delay or prevent a change in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2025, our Board declared a dividend of one preferred share purchase right (a “Right”) for each outstanding share of Common Stock and adopted a limited-duration stockholder rights plan pursuant to the Shareholder Rights Agreement, dated July 29, 2025, between the Company and Continental Stock Transfer &amp; Trust Company, as rights agent (the “Rights Agreement”). Following the one-for-ten reverse stock split of our Common Stock effected on December 12, 2025, each Right entitles its holder, subject to the terms of the Rights Agreement, to purchase one-hundredth of one share of Series A Preferred Stock at the applicable purchase price. The Rights generally become exercisable following the acquisition by a person or group of beneficial ownership of 30% or more of the outstanding Common Stock or the commencement of a tender or exchange offer that would result in such ownership, subject to customary exceptions. The Rights are attached to and trade with the Common Stock, as set forth in the Rights Agreement and will expire on January 29, 2027, unless earlier redeemed or exchanged by the Company. The foregoing description is qualified in its entirety by the Rights Agreement and the Certificate of Designations of Series A Participating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10</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future dividends on the shares of the Common Stock is subject to the rights of the holders of the Company’s preferred stock (if any) and will depend on the revenues and earnings (if any), capital requirements and financial condition of the Company, and will be subject to the discretion of the Board. The Board is not currently contemplating and does not anticipate declaring any stock dividends in the foreseeable future. The ability of the Company to declare dividends may be limited by the terms of any financing and other agreements entered into by the Company or its subsidiaries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Stockholder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annual stockholder meetings will be held at a date, time and place, if any, as exclusively selected by the Board. To the extent permitted under applicable law, the Board may conduct meetings by remote communications. The Bylaws provide that stockholders seeking to bring business before the Company’s annual meeting of stockholders, or to nominate candidates for election as directors at the Company’s annual meeting of stockholders, must provide timely notice of their intent in writing. To be timely, a stockholder’s notice will need to be received by the Company’s Secretary at the Company’s principal executive offices not later than the close of business on the 90th day nor earlier than the open of business on the 120th day prior to the anniversary date of the immediately preceding annual meeting of stockholders. Pursuant to Rule 14a-8 of the Exchange Act, proposals seeking inclusion in the Company’s annual proxy statement must comply with the notice periods contained in the annual proxy statement. Our Charter specifies certain requirements as to the form and content of a stockholders’ meeting. These provisions may preclude the Company’s stockholders from bringing matters before its annual meeting of stockholders or from making nominations for directors at its annual meeting of stockholders. Our Bylaws also specify certain requirements as to the form and content of a stockholder’s notice for an annual meeting.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 conducting such business at the annual meeting, (ii) the name and record address of such stockholder and the name and address of the beneficial owner, if any, on whose behalf the proposal is made, (iii) the class or series and number of shares of Company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the Company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foregoing provisions may limit the Company’s stockholders’ ability to bring matters before its annual meeting of stockholders or from making nominations for directors at its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special meetings of stockholders may be called only by or at the direction of the Board, pursuant to a resolution adopted by a majority of the Board. Stockholders have no right to call a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11</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provide that any action required or permitted to be taken at any meeting of the Board or of any committee thereof may be taken without a meeting, if all members of the Board or committee thereof, as the case may be, consent thereto in writing or by electronic transmission. After an action is taken, the consent or consents relating thereto must be filed with the minutes of proceedings of the Board or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required by the DGCL or our Charter, the Bylaws provide that holders of a majority of the aggregate voting power of our capital stock issued and outstanding and entitled to vote thereat, present in person or represented by proxy, will constitute a quorum at all meetings of the stockholders. If, however, such quorum will not be present or represented at any meeting of the stockholders, such stockholders will have power to adjourn the meeting from time to time until a quorum shall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does not require stockholder approval for any issuance of authorized shares. However, the listing requirements of Nasdaq, which apply so long as the Common Stock remains listed on Nasdaq, require stockholder approval of certain issuances equal to or exceeding 20% of the then outstanding voting power or then outstanding number of shares of the Common Stock. Additional shares that may be issued in the future may be used for a variety of corporate purposes, including future public offerings, to raise additional capital or to facilitate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the Common Stock at prices higher than prevailing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and Bylaw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may be amended, altered or repealed (A) at any annual or regular meeting of our Board, or at any special meeting of our Board if notice of the proposed alteration, amendment or repeal is contained in written notice of such special meeting, by the affirmative vote of a majority of the Board then present (at which meeting a quorum of the Board is present); or (B) by the affirmative vote of the holders of at least three-fourths of the voting power of the shares entitled to vote at an election of directors. In addition, our Charter provides that the affirmative vote of holders with such voting power is required to alter, amend or repeal certain provisions of our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authorizes corporations to limit or eliminate the personal liability of directors and certain officers to corporations and their stockholders for monetary damages for breaches of fiduciary duties, subject to certain exceptions. Our Charter provides for the elimination of the personal liability of our directors and officers to the Company or its stockholders for monetary damages for breach of fiduciary duty to the fullest extent permitted by the DGCL. Our Charter and Bylaws also provide for the indemnification of, and advancement of expenses to, our directors and officers to the fullest extent permitted by applicable law. Further, the Company has entered, and may continue to enter into, agreements to indemnify the directors, executive officers and other employees as determined by our Board. Under the terms of such indemnification agreements, the Company will be required to indemnify each of its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The Company will be required to indemnify its officers and directors against all expenses, judgments, fines, penalties and amounts paid in settlement (if pre-approved), including all costs, expenses and obligations incurred in connection with investigating, defending, being a witness in, participating in (including on appeal), or preparing to defend, be a witness or participate in any completed, actual, pending or threatened action, suit, proceeding or alternative dispute resolution mechanism, whether civil, criminal, administrative, investigative or other, arising out of the officers’ or directors’ role as an officer or director of the Company, or establishing or enforcing a right to indemnification under the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12</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Jurisdiction of Certain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requires that derivative actions brought in the name of the Company, actions against directors, officers and other employees for breaches of fiduciary duty, actions asserting a claim against the Company or any directors, officers or other employees arising pursuant to the DGCL, our Charter or our Bylaws, actions asserting a claim against the Company or any directors, officers or other employees governed by the internal affairs doctrine, or actions asserting an “internal corporate claim” (as defined in the DGCL) may be brought only in the Court of Chancery in the State of Delaware, all cases to the fullest extent permitted by law and subject to the court’s having personal jurisdiction over the indispensable parties named as defendants; provided, that if the Court of Chancery in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Although we believe this provision benefits the Company by providing increased consistency in the application of Delaware law in the types of lawsuits to which it applies, the provision may have the effect of discouraging lawsuits against our directors, officers and other employees. In addition, unless we consent in writing to the selection of an alternative forum, our Charter provides that the federal district courts of the United States are, to the fullest extent permitted by law, the sole and exclusive forum for the resolution of any complaint asserting a cause of action arising under the Securities Act, the Exchange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listed on the Nasdaq Capital Market under the symbol “XBP.”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foregoing summary does not purport to be complete and is qualified in its entirety by reference to our Third Amended and Restated Certificate of Incorporation, as amended, our Second Amended and Restated Bylaws, the Certificate of Designations of Series A Participating Preferred Stock, the Rights Agreement and the applicable provisions of the DGCL. Additional information regarding our Common Stock and related rights is contained in the Description of Securities filed as </w:t>
      </w:r>
      <w:hyperlink r:id="rId4">
        <w:r>
          <w:rPr>
            <w:rStyle w:val="InternetLink"/>
            <w:rFonts w:ascii="Times New Roman;Times;Serif" w:hAnsi="Times New Roman;Times;Serif"/>
            <w:b w:val="false"/>
            <w:i w:val="false"/>
            <w:caps w:val="false"/>
            <w:smallCaps w:val="false"/>
            <w:sz w:val="20"/>
          </w:rPr>
          <w:t>Exhibit 4.6</w:t>
        </w:r>
      </w:hyperlink>
      <w:r>
        <w:rPr>
          <w:rFonts w:ascii="Times New Roman;Times;Serif" w:hAnsi="Times New Roman;Times;Serif"/>
          <w:b w:val="false"/>
          <w:i w:val="false"/>
          <w:caps w:val="false"/>
          <w:smallCaps w:val="false"/>
          <w:sz w:val="20"/>
        </w:rPr>
        <w:t xml:space="preserve"> to our 2025 Annual Report for the fiscal year ended December 31, 2025, including any amendment or report filed for the purpose of updating such description,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9"/>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shares of Common Stock for possible sale by the selling stockholders from time to time. We will not receive any proceeds from the sale by the selling stockholders. The aggregate proceeds to the selling stockholders will be the purchase price of the securities less any discounts and commissions borne by the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applicable registration rights agreements, we will pay certain expenses, other than underwriting discounts and commissions, associated with the sale of Common Stock by the selling stockholders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13</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beneficially owned by the selling stockholders covered by this prospectus may be offered and sold from time to time by the selling stockholders. The term “selling stockholders” includes donees, pledgees, transferees or other successors in interest that sell securities received after the date of this prospectus from a selling stockholder as a gift, pledge, partnership distribution or other transfer. A selling stockholder that is an entity may elect to make an in-kind distribution of securities to its members, partners, or stockholders pursuant to the registration statement of which this prospectus forms a part by delivering a prospectus. To the extent that such members, partners or stockholders are not affiliates of ours, such members, partners or stockholders would thereby receive freely tradable securities pursuant to the distribution through a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stockholder reserves the right to accept and, together with its respective agents, to reject, any proposed purchase of securities to be made directly or through agents. The selling stockholders and any of their permitted transferees may sell their securities offered by this prospectus on any stock exchange, market or trading facility on which the securities are traded or in private transactions. These sales may be at a fixed price or varying prices, which may be changed, or at market prices prevailing at the time of sale, at prices relating to prevailing market prices or at negotiated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their shares by one or more of, or a combination of, the following methods: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left"/>
              <w:rPr/>
            </w:pPr>
            <w:r>
              <w:rPr/>
              <w:t>purchases by a broker-dealer as principal and resale by such broker-dealer for its own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ordinary brokerage transactions and transactions in which the broker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block trades in which the broker-dealer so engaged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29" w:type="dxa"/>
            <w:tcBorders/>
            <w:vAlign w:val="center"/>
          </w:tcPr>
          <w:p>
            <w:pPr>
              <w:pStyle w:val="TableContents"/>
              <w:bidi w:val="0"/>
              <w:spacing w:before="0" w:after="283"/>
              <w:jc w:val="left"/>
              <w:rPr/>
            </w:pPr>
            <w:r>
              <w:rPr/>
              <w:t>an exchange distribution in accordance with the rules of the Nasdaq or other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Symbol" w:hAnsi="Symbol"/>
              </w:rPr>
            </w:pPr>
            <w:r>
              <w:rPr>
                <w:rFonts w:ascii="Symbol" w:hAnsi="Symbol"/>
              </w:rPr>
              <w:t>·</w:t>
            </w:r>
          </w:p>
        </w:tc>
        <w:tc>
          <w:tcPr>
            <w:tcW w:w="9942" w:type="dxa"/>
            <w:tcBorders/>
            <w:vAlign w:val="center"/>
          </w:tcPr>
          <w:p>
            <w:pPr>
              <w:pStyle w:val="TableContents"/>
              <w:bidi w:val="0"/>
              <w:spacing w:before="0" w:after="283"/>
              <w:jc w:val="left"/>
              <w:rPr/>
            </w:pPr>
            <w:r>
              <w:rPr/>
              <w:t>in distributions to employees, members, partners or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trading plans entered into by the selling stockholders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4" w:type="dxa"/>
            <w:tcBorders/>
            <w:vAlign w:val="center"/>
          </w:tcPr>
          <w:p>
            <w:pPr>
              <w:pStyle w:val="TableContents"/>
              <w:bidi w:val="0"/>
              <w:spacing w:before="0" w:after="283"/>
              <w:jc w:val="left"/>
              <w:rPr/>
            </w:pPr>
            <w:r>
              <w:rPr/>
              <w:t>in settlement of short sales entered into after the date of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left"/>
              <w:rPr/>
            </w:pPr>
            <w:r>
              <w:rPr/>
              <w:t>agreements with broker-dealers to sell a specified number of the securities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market transactions, including transactions on a national securities exchange, inter-dealer system of a registered national securities association, quotation service or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362"/>
        <w:gridCol w:w="9734"/>
      </w:tblGrid>
      <w:tr>
        <w:trPr/>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rFonts w:ascii="Symbol" w:hAnsi="Symbol"/>
              </w:rPr>
            </w:pPr>
            <w:r>
              <w:rPr>
                <w:rFonts w:ascii="Symbol" w:hAnsi="Symbol"/>
              </w:rPr>
              <w:t>·</w:t>
            </w:r>
          </w:p>
        </w:tc>
        <w:tc>
          <w:tcPr>
            <w:tcW w:w="9734" w:type="dxa"/>
            <w:tcBorders/>
            <w:vAlign w:val="center"/>
          </w:tcPr>
          <w:p>
            <w:pPr>
              <w:pStyle w:val="TableContents"/>
              <w:bidi w:val="0"/>
              <w:spacing w:before="0" w:after="283"/>
              <w:jc w:val="left"/>
              <w:rPr/>
            </w:pPr>
            <w:r>
              <w:rPr/>
              <w:t>in 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options transactions or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14</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412"/>
        <w:gridCol w:w="9668"/>
      </w:tblGrid>
      <w:tr>
        <w:trPr/>
        <w:tc>
          <w:tcPr>
            <w:tcW w:w="12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rFonts w:ascii="Symbol" w:hAnsi="Symbol"/>
              </w:rPr>
            </w:pPr>
            <w:r>
              <w:rPr>
                <w:rFonts w:ascii="Symbol" w:hAnsi="Symbol"/>
              </w:rPr>
              <w:t>·</w:t>
            </w:r>
          </w:p>
        </w:tc>
        <w:tc>
          <w:tcPr>
            <w:tcW w:w="9668" w:type="dxa"/>
            <w:tcBorders/>
            <w:vAlign w:val="center"/>
          </w:tcPr>
          <w:p>
            <w:pPr>
              <w:pStyle w:val="TableContents"/>
              <w:bidi w:val="0"/>
              <w:spacing w:before="0" w:after="283"/>
              <w:jc w:val="left"/>
              <w:rPr/>
            </w:pPr>
            <w:r>
              <w:rPr/>
              <w:t>delayed delivery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336"/>
        <w:gridCol w:w="9768"/>
      </w:tblGrid>
      <w:tr>
        <w:trPr/>
        <w:tc>
          <w:tcPr>
            <w:tcW w:w="10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rFonts w:ascii="Symbol" w:hAnsi="Symbol"/>
              </w:rPr>
            </w:pPr>
            <w:r>
              <w:rPr>
                <w:rFonts w:ascii="Symbol" w:hAnsi="Symbol"/>
              </w:rPr>
              <w:t>·</w:t>
            </w:r>
          </w:p>
        </w:tc>
        <w:tc>
          <w:tcPr>
            <w:tcW w:w="9768" w:type="dxa"/>
            <w:tcBorders/>
            <w:vAlign w:val="center"/>
          </w:tcPr>
          <w:p>
            <w:pPr>
              <w:pStyle w:val="TableContents"/>
              <w:bidi w:val="0"/>
              <w:spacing w:before="0" w:after="283"/>
              <w:jc w:val="left"/>
              <w:rPr/>
            </w:pPr>
            <w:r>
              <w:rPr/>
              <w:t>in one or more underwritten offerings;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368"/>
        <w:gridCol w:w="9726"/>
      </w:tblGrid>
      <w:tr>
        <w:trPr/>
        <w:tc>
          <w:tcPr>
            <w:tcW w:w="11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Symbol" w:hAnsi="Symbol"/>
              </w:rPr>
            </w:pPr>
            <w:r>
              <w:rPr>
                <w:rFonts w:ascii="Symbol" w:hAnsi="Symbol"/>
              </w:rPr>
              <w:t>·</w:t>
            </w:r>
          </w:p>
        </w:tc>
        <w:tc>
          <w:tcPr>
            <w:tcW w:w="9726" w:type="dxa"/>
            <w:tcBorders/>
            <w:vAlign w:val="center"/>
          </w:tcPr>
          <w:p>
            <w:pPr>
              <w:pStyle w:val="TableContents"/>
              <w:bidi w:val="0"/>
              <w:spacing w:before="0" w:after="283"/>
              <w:jc w:val="left"/>
              <w:rPr/>
            </w:pPr>
            <w:r>
              <w:rPr/>
              <w:t>directly to one or more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left"/>
              <w:rPr/>
            </w:pPr>
            <w:r>
              <w:rPr/>
              <w:t>by pledge to secure debts and other obligations or any transfer upon the foreclosure under such pledge;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594"/>
        <w:gridCol w:w="9431"/>
      </w:tblGrid>
      <w:tr>
        <w:trPr/>
        <w:tc>
          <w:tcPr>
            <w:tcW w:w="18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rFonts w:ascii="Symbol" w:hAnsi="Symbol"/>
              </w:rPr>
            </w:pPr>
            <w:r>
              <w:rPr>
                <w:rFonts w:ascii="Symbol" w:hAnsi="Symbol"/>
              </w:rPr>
              <w:t>·</w:t>
            </w:r>
          </w:p>
        </w:tc>
        <w:tc>
          <w:tcPr>
            <w:tcW w:w="9431" w:type="dxa"/>
            <w:tcBorders/>
            <w:vAlign w:val="center"/>
          </w:tcPr>
          <w:p>
            <w:pPr>
              <w:pStyle w:val="TableContents"/>
              <w:bidi w:val="0"/>
              <w:spacing w:before="0" w:after="283"/>
              <w:jc w:val="left"/>
              <w:rPr/>
            </w:pPr>
            <w:r>
              <w:rPr/>
              <w:t>to or 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11"/>
        <w:gridCol w:w="9931"/>
      </w:tblGrid>
      <w:tr>
        <w:trPr/>
        <w:tc>
          <w:tcPr>
            <w:tcW w:w="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left"/>
              <w:rPr/>
            </w:pPr>
            <w:r>
              <w:rPr/>
              <w:t>through a combination of any of the above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left"/>
              <w:rPr/>
            </w:pPr>
            <w:r>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stockholders will sell all or any of the securities offered by this prospectus. In addition, any shares that qualify for sale pursuant to Rule 144 may be sold under Rule 144 rather than pursuant to this prospectus, subject to additional restrictions due to the Company’s former shell company status. The selling stockholders have the sole and absolute discretion not to accept any purchase offer or make any sale of securities if they deem the purchase price to be unsatisfactory at any particular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applicable registration rights agreement, selling stockholders may transfer shares of Common Stock to one or more permitted transferees and, if so transferred, such permitted transferee(s) will be the selling beneficial owner(s) for purposes of this prospectus. Upon being notified by a selling stockholder of such a transfer, we will, to the extent required by applicable law or regulation, promptly file a supplement to this prospectus to name specifically such person as a selling stockholder. Under the applicable registration rights agreements, we have agreed to indemnify the selling stockholders party thereto against certain liabilities that they may incur in connection with the sale of the securities registered hereunder, including liabilities under the Securities Act, and to contribute to payments that the selling stockholders may be required to make with respect thereto. In addition, we and the selling stockholders may agree to indemnify any underwriter, broker-dealer, or agent against certain liabilities related to the selling of the securities, including liabilities arising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 particular offering of the securities held by the selling stockholders, to the extent required, an accompanying prospectus supplement or, if appropriate, a post-effective amendment to the registration statement of which this prospectus is part, will be prepared and will set forth the following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92"/>
        <w:gridCol w:w="9825"/>
      </w:tblGrid>
      <w:tr>
        <w:trPr/>
        <w:tc>
          <w:tcPr>
            <w:tcW w:w="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5" w:type="dxa"/>
            <w:tcBorders/>
            <w:vAlign w:val="center"/>
          </w:tcPr>
          <w:p>
            <w:pPr>
              <w:pStyle w:val="TableContents"/>
              <w:bidi w:val="0"/>
              <w:spacing w:before="0" w:after="283"/>
              <w:jc w:val="left"/>
              <w:rPr/>
            </w:pPr>
            <w:r>
              <w:rPr/>
              <w:t>the specific securities to be offered and sold;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42"/>
        <w:gridCol w:w="9759"/>
      </w:tblGrid>
      <w:tr>
        <w:trPr/>
        <w:tc>
          <w:tcPr>
            <w:tcW w:w="10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Symbol" w:hAnsi="Symbol"/>
              </w:rPr>
            </w:pPr>
            <w:r>
              <w:rPr>
                <w:rFonts w:ascii="Symbol" w:hAnsi="Symbol"/>
              </w:rPr>
              <w:t>·</w:t>
            </w:r>
          </w:p>
        </w:tc>
        <w:tc>
          <w:tcPr>
            <w:tcW w:w="9759" w:type="dxa"/>
            <w:tcBorders/>
            <w:vAlign w:val="center"/>
          </w:tcPr>
          <w:p>
            <w:pPr>
              <w:pStyle w:val="TableContents"/>
              <w:bidi w:val="0"/>
              <w:spacing w:before="0" w:after="283"/>
              <w:jc w:val="left"/>
              <w:rPr/>
            </w:pPr>
            <w:r>
              <w:rPr/>
              <w:t>the names of the selling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respective purchase prices and public offering prices, the proceeds to be received from the sale, if any, and other material terms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92"/>
        <w:gridCol w:w="9955"/>
      </w:tblGrid>
      <w:tr>
        <w:trPr/>
        <w:tc>
          <w:tcPr>
            <w:tcW w:w="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Symbol" w:hAnsi="Symbol"/>
              </w:rPr>
            </w:pPr>
            <w:r>
              <w:rPr>
                <w:rFonts w:ascii="Symbol" w:hAnsi="Symbol"/>
              </w:rPr>
              <w:t>·</w:t>
            </w:r>
          </w:p>
        </w:tc>
        <w:tc>
          <w:tcPr>
            <w:tcW w:w="9955" w:type="dxa"/>
            <w:tcBorders/>
            <w:vAlign w:val="center"/>
          </w:tcPr>
          <w:p>
            <w:pPr>
              <w:pStyle w:val="TableContents"/>
              <w:bidi w:val="0"/>
              <w:spacing w:before="0" w:after="283"/>
              <w:jc w:val="left"/>
              <w:rPr/>
            </w:pPr>
            <w:r>
              <w:rPr/>
              <w:t>settlement of short sales entered into after the date of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0"/>
        <w:gridCol w:w="10010"/>
      </w:tblGrid>
      <w:tr>
        <w:trPr/>
        <w:tc>
          <w:tcPr>
            <w:tcW w:w="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rPr>
            </w:pPr>
            <w:r>
              <w:rPr>
                <w:rFonts w:ascii="Symbol" w:hAnsi="Symbol"/>
              </w:rPr>
              <w:t>·</w:t>
            </w:r>
          </w:p>
        </w:tc>
        <w:tc>
          <w:tcPr>
            <w:tcW w:w="10010" w:type="dxa"/>
            <w:tcBorders/>
            <w:vAlign w:val="center"/>
          </w:tcPr>
          <w:p>
            <w:pPr>
              <w:pStyle w:val="TableContents"/>
              <w:bidi w:val="0"/>
              <w:spacing w:before="0" w:after="283"/>
              <w:jc w:val="left"/>
              <w:rPr/>
            </w:pPr>
            <w:r>
              <w:rPr/>
              <w:t>the names of any participating agents or broker-dealers, if not already named herein;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applicable commissions, discounts, concessions and other items constituting compensation from the selling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15</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distributions of the shares or otherwise, the selling stockholders may enter into hedging transactions with broker-dealers or other financial institutions. In connection with such transactions, broker-dealers or other financial institutions may engage in short sales of shares of Common Stock in the course of hedging transactions, and broker-dealers or other financial institutions may engage in short sales of shares of Common Stock in the course of hedging the positions they assume with selling stockholders. The selling stockholders may also sell shares of Common Stock short and redeliver the shares to close out such short positions. The selling stockholders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Common Stock are currently listed on The Nasdaq Stock Market LLC under “XBP.”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stockholders pay for solicitation of these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enter into derivative, sale or forward sale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stockholders or borrowed from any selling stockholders or others to settle those sales or to close out any related open borrowings of stock, and may use securities received from any selling stockholders in settlement of those derivatives to close out any related open borrowings of stock. The third party in such sale transactions will be an underwriter and will be identified in the applicable prospectus supplement (or a post-effective amendment). In addition, any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16</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any offering made under this prospectus a member of the Financial Industry Regulatory Authority (“FINRA”) participating in the offering has a “conflict of interest” as defined in FINRA Rule 5121 (“Rule 5121”), that offering will be conducted in accordance with the relevant provisions of Rule 5121.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there are currently no plans, arrangements or understandings between the selling stockholders and any broker-dealer or agent regarding the sale of the securities by the selling stockholders. Upon notification from a selling stockholder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offering the shares covered by this prospectus, the selling stockholders and any broker-dealers who execute sales for the selling stockholders may be deemed to be “underwriters” within the meaning of the Securities Act in connection with such sales (it being understood the selling stockholders shall not be deemed to be underwriters solely as a result of their participation in an offering pursuant to this prospectus). Any discounts, commissions, concessions or profit that the selling stockholders and any broker-dealers who execute sales for the selling stockholders, if deemed to be underwriters, earn on any resale of those securities may be underwriting discounts and commissions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broker-dealers and agents may engage in transactions with us or the selling stockholders, may have banking, lending or other relationships with us or perform services for us or the selling stockholders,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must be sold in such jurisdictions only through registered or licensed brokers or dealers. In addition, in certain states, the shares of Common Stock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10"/>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our shares of Common Stock offered hereby will be passed upon for us by Baker &amp; Hostetler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1"/>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XBP Global Holdings, Inc. as of December 31, 2025 and for the periods in 2025 set forth in the report of UHY LLP incorporated by reference in this prospectus have been audited by UHY LLP, an independent registered public accounting firm, as stated in its report incorporated herein by reference. Such consolidated financial statements are incorporated by reference in reliance upon the report of UHY LLP and upon the authority of such firm as an expert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17</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and combined balance sheet of Exela Technologies BPA, LLC Subsidiaries and Affiliates as of December 31, 2024 and the related consolidated and combined statements of operations, comprehensive profit (loss), stockholders’ equity (deficit), and cash flows for the year then ended have been audited by EisnerAmper LLP, independent registered public accounting firm, as stated in their report incorporated herein by reference. Such financial statements have been incorporated herein by reference in reliance upon the report of such firm given upon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constitutes a part of a registration statement on Form S-3 filed under the Securities Act. As permitted by the SEC’s rules, this prospectus and any prospectus supplement, which form a part of the registration statement, do not contain all the information that is included in the registration statement. You will find additional information about us in the registration statement and its exhibits. Any statements made in this prospectus or any prospectus supplement concerning legal documents are not necessarily complete and you should read the documents that are filed as exhibits to the registration statement or otherwise filed with the SEC for a more complete understanding of the document or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read our electronic SEC filings, including such registration statement, on the internet at the SEC’s website at www.sec.gov. We are subject to the information reporting requirements of the Exchange Act, and we file reports, proxy statements and other information with the SEC. These reports, proxy statements and other information will be available at the website of the SEC referred to above. We also maintain a website at www.xbpglobal.com, at which you may access these materials free of charge as soon as reasonably practicable after they are electronically filed with, or furnished to, the SEC. However, the information contained in or accessible through our website is not part of this prospectus or the registration statement of which this prospectus forms a part unless specifically incorporated by reference, and investors should not rely on such information in making a decision to purchase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 SEC, which means that we can disclose important information to you by referring you to those documents. The information incorporated by reference is an important part of this prospectus. Any statement contained in a document incorporated by reference in this prospectus will be deemed modified or superseded to the extent that a statement contained in this prospectus or in any subsequently filed document that also is incorporated by reference modifies or supersedes that statement. We incorporate by reference into this prospectus the following documents, which contain important information about us and our business and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hyperlink r:id="rId5">
              <w:r>
                <w:rPr>
                  <w:rStyle w:val="InternetLink"/>
                </w:rPr>
                <w:t>our Annual Report on Form 10-K for the fiscal year ended December 31, 2025, filed with the SEC on March 31,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our Quarterly Reports on Form 10-Q for the quarters ended March 31, 2026 and June 30, 2026, filed with the SEC on </w:t>
            </w:r>
            <w:hyperlink r:id="rId6">
              <w:r>
                <w:rPr>
                  <w:rStyle w:val="InternetLink"/>
                </w:rPr>
                <w:t>May 15, 2026</w:t>
              </w:r>
            </w:hyperlink>
            <w:r>
              <w:rPr/>
              <w:t xml:space="preserve"> and </w:t>
            </w:r>
            <w:hyperlink r:id="rId7">
              <w:r>
                <w:rPr>
                  <w:rStyle w:val="InternetLink"/>
                </w:rPr>
                <w:t>August 14, 2026</w:t>
              </w:r>
            </w:hyperlink>
            <w:r>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our Current Reports on Form 8-K filed with the SEC on </w:t>
            </w:r>
            <w:hyperlink r:id="rId8">
              <w:r>
                <w:rPr>
                  <w:rStyle w:val="InternetLink"/>
                </w:rPr>
                <w:t>January 6, 2026</w:t>
              </w:r>
            </w:hyperlink>
            <w:r>
              <w:rPr/>
              <w:t xml:space="preserve">, </w:t>
            </w:r>
            <w:hyperlink r:id="rId9">
              <w:r>
                <w:rPr>
                  <w:rStyle w:val="InternetLink"/>
                </w:rPr>
                <w:t>March 12, 2026</w:t>
              </w:r>
            </w:hyperlink>
            <w:r>
              <w:rPr/>
              <w:t xml:space="preserve">, </w:t>
            </w:r>
            <w:hyperlink r:id="rId10">
              <w:r>
                <w:rPr>
                  <w:rStyle w:val="InternetLink"/>
                </w:rPr>
                <w:t>June 1, 2026</w:t>
              </w:r>
            </w:hyperlink>
            <w:r>
              <w:rPr/>
              <w:t xml:space="preserve"> and </w:t>
            </w:r>
            <w:hyperlink r:id="rId11">
              <w:r>
                <w:rPr>
                  <w:rStyle w:val="InternetLink"/>
                </w:rPr>
                <w:t>September 14, 2026</w:t>
              </w:r>
            </w:hyperlink>
            <w:r>
              <w:rPr/>
              <w:t>, in each case other than information furnished and not filed;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description of our Common Stock filed as </w:t>
            </w:r>
            <w:hyperlink r:id="rId12">
              <w:r>
                <w:rPr>
                  <w:rStyle w:val="InternetLink"/>
                </w:rPr>
                <w:t>Exhibit 4.6</w:t>
              </w:r>
            </w:hyperlink>
            <w:r>
              <w:rPr/>
              <w:t xml:space="preserve"> to our Annual Report on Form 10-K for the fiscal year ended December 31, 2025, filed with the SEC on March 31, 2026, and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any additional filings made by us with the SEC under Section 13(a), 13(c), 14 or 15(d) of the Securities Exchange Act of 1934 (other than the portions of those made pursuant to Item 2.02 or Item 7.01 of Form 8-K or other information “furnished” to the SEC) after the filing of the initial registration statement (including all such documents that we may file with the SEC after the date the registration statement was initially filed and prior to the effectiveness of the registration statement) and before the filing of a post-effective amendment to the registration statement of which this prospectus is a part that indicates that all securities offered hereunder have been sold or that deregisters all securities then remaining unsold (other than information furnished and not filed with the SEC). These documents may include periodic reports, like Annual Reports on Form 10-K, Quarterly Reports on Form 10-Q and Current Reports on Form 8-K, as well as Proxy Statements. Any material that we subsequently file with the SEC will automatically update and replace the information previously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registration statement of which this prospectus is a part, any statement contained in a document incorporated or deemed to be incorporated herein by reference shall be deemed to be modified or superseded to the extent that a statement contained herein or in any other subsequently filed document which also is or is deemed to be incorporated herein by reference modifies or supersedes such statement in such document. Any statement so modified or superseded shall not be deemed, except as so modified or superseded, to constitute a part of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provide to each person, including any beneficial owner, to whom a prospectus is delivered, upon written or oral request and at no cost, a copy of any or all of the documents incorporated by reference in this prospectus, excluding exhibits unless the exhibits are specifically incorporated by reference in those documents. Requests should be directed to XBP Global Holdings, Inc., Attention: Investor Relations, 6641 N. Belt Line Road, Suite 100, Irving, Texas 75063, telephone (844) 935-2832, or </w:t>
      </w:r>
      <w:r>
        <w:rPr>
          <w:rFonts w:ascii="Times New Roman;Times;Serif" w:hAnsi="Times New Roman;Times;Serif"/>
          <w:b w:val="false"/>
          <w:i w:val="false"/>
          <w:caps w:val="false"/>
          <w:smallCaps w:val="false"/>
          <w:sz w:val="20"/>
          <w:u w:val="single"/>
        </w:rPr>
        <w:t>investors@xbpglobal.com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selling stockholders have authorized anyone to provide you with information other than that contained in or incorporated by reference into this prospectus. You should not assume that the information in this prospectus is accurate as of any date other than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or assume the accuracy of any representation or warranty in any agreement that we have filed as an exhibit to any document that we have publicly filed or that we may otherwise publicly file in the future because such representation or warranty may be subject to exceptions and qualifications contained in separate disclosure schedules, may have been included in such agreement for the purpose of allocating risk between the parties to the particular transaction, and may no longer continue to be true as of any given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18</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costs and expenses payable by us in connection with the Common Stock being registered. All amounts shown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tbl>
      <w:tblPr>
        <w:tblW w:w="4419" w:type="dxa"/>
        <w:jc w:val="left"/>
        <w:tblInd w:w="0" w:type="dxa"/>
        <w:tblLayout w:type="fixed"/>
        <w:tblCellMar>
          <w:top w:w="0" w:type="dxa"/>
          <w:left w:w="0" w:type="dxa"/>
          <w:bottom w:w="0" w:type="dxa"/>
          <w:right w:w="0" w:type="dxa"/>
        </w:tblCellMar>
      </w:tblPr>
      <w:tblGrid>
        <w:gridCol w:w="2480"/>
        <w:gridCol w:w="60"/>
        <w:gridCol w:w="191"/>
        <w:gridCol w:w="1613"/>
        <w:gridCol w:w="7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paid or to be</w:t>
              <w:br/>
              <w:t>paid</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3"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927</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3"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4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pPr>
            <w:r>
              <w:rPr/>
              <w:t>These fees depend on the method of distribution and cannot be calculated at this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the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5"/>
        <w:gridCol w:w="60"/>
        <w:gridCol w:w="9450"/>
      </w:tblGrid>
      <w:tr>
        <w:trPr/>
        <w:tc>
          <w:tcPr>
            <w:tcW w:w="6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w:t>
              <w:br/>
              <w:t>Number</w:t>
            </w:r>
          </w:p>
        </w:tc>
        <w:tc>
          <w:tcPr>
            <w:tcW w:w="60" w:type="dxa"/>
            <w:tcBorders/>
            <w:tcMar>
              <w:bottom w:w="0" w:type="dxa"/>
            </w:tcMar>
            <w:vAlign w:val="center"/>
          </w:tcPr>
          <w:p>
            <w:pPr>
              <w:pStyle w:val="TableContents"/>
              <w:bidi w:val="0"/>
              <w:spacing w:before="0" w:after="283"/>
              <w:jc w:val="left"/>
              <w:rPr/>
            </w:pPr>
            <w:r>
              <w:rPr/>
              <w:t> </w:t>
            </w:r>
          </w:p>
        </w:tc>
        <w:tc>
          <w:tcPr>
            <w:tcW w:w="94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95" w:type="dxa"/>
            <w:tcBorders/>
            <w:shd w:fill="CCEEFF" w:val="clear"/>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3.1(i)(a)</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50" w:type="dxa"/>
            <w:tcBorders/>
            <w:shd w:fill="CCEEFF" w:val="clear"/>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Third Amended and Restated Certificate of Incorporation, dated July 29, 2025 (incorporated by reference to Exhibit 3.2 to the Company’s Current Report on Form 8-K filed August 4, 2025).</w:t>
              </w:r>
            </w:hyperlink>
          </w:p>
        </w:tc>
      </w:tr>
      <w:tr>
        <w:trPr/>
        <w:tc>
          <w:tcPr>
            <w:tcW w:w="695" w:type="dxa"/>
            <w:tcBorders/>
            <w:shd w:fill="FFFFFF" w:val="clear"/>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3.1(i)(b)</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0" w:type="dxa"/>
            <w:tcBorders/>
            <w:shd w:fill="FFFFFF" w:val="clear"/>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Certificate of Amendment to the Third Amended and Restated Certificate of Incorporation, dated July 29, 2025 (incorporated by reference to Exhibit 3.4 to the Company’s Current Report on Form 8-K filed August 4, 2025).</w:t>
              </w:r>
            </w:hyperlink>
          </w:p>
        </w:tc>
      </w:tr>
      <w:tr>
        <w:trPr/>
        <w:tc>
          <w:tcPr>
            <w:tcW w:w="695" w:type="dxa"/>
            <w:tcBorders/>
            <w:shd w:fill="CCEEFF" w:val="clear"/>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sz w:val="20"/>
                </w:rPr>
                <w:t>3.1(i)(c)</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50" w:type="dxa"/>
            <w:tcBorders/>
            <w:shd w:fill="CCEEFF" w:val="clear"/>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Certificate of Designations for Series A Participating Preferred Stock (incorporated by reference to Exhibit 3.1 to the Company’s Current Report on Form 8-K filed August 4, 2025).</w:t>
              </w:r>
            </w:hyperlink>
          </w:p>
        </w:tc>
      </w:tr>
      <w:tr>
        <w:trPr/>
        <w:tc>
          <w:tcPr>
            <w:tcW w:w="695" w:type="dxa"/>
            <w:tcBorders/>
            <w:shd w:fill="FFFFFF" w:val="clear"/>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3.1(ii)</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0" w:type="dxa"/>
            <w:tcBorders/>
            <w:shd w:fill="FFFFFF" w:val="clear"/>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Second Amended and Restated Bylaws (incorporated by reference to Exhibit 3.3 to the Company’s Current Report on Form 8-K filed August 4, 2025).</w:t>
              </w:r>
            </w:hyperlink>
          </w:p>
        </w:tc>
      </w:tr>
      <w:tr>
        <w:trPr/>
        <w:tc>
          <w:tcPr>
            <w:tcW w:w="695" w:type="dxa"/>
            <w:tcBorders/>
            <w:shd w:fill="CCEEFF" w:val="clear"/>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4.1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50" w:type="dxa"/>
            <w:tcBorders/>
            <w:shd w:fill="CCEEFF" w:val="clear"/>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Shareholder Rights Agreement, dated July 29, 2025 (incorporated by reference to Exhibit 4.2 to the Company’s Current Report on Form 8-K filed August 4, 2025).</w:t>
              </w:r>
            </w:hyperlink>
          </w:p>
        </w:tc>
      </w:tr>
      <w:tr>
        <w:trPr/>
        <w:tc>
          <w:tcPr>
            <w:tcW w:w="695" w:type="dxa"/>
            <w:tcBorders/>
            <w:shd w:fill="FFFFFF" w:val="clear"/>
            <w:tcMar>
              <w:bottom w:w="0" w:type="dxa"/>
            </w:tcMar>
            <w:vAlign w:val="center"/>
          </w:tcPr>
          <w:p>
            <w:pPr>
              <w:pStyle w:val="TableContents"/>
              <w:bidi w:val="0"/>
              <w:spacing w:before="0" w:after="283"/>
              <w:jc w:val="left"/>
              <w:rPr/>
            </w:pPr>
            <w:hyperlink w:anchor="tm2625897d1_ex5-1.htm">
              <w:r>
                <w:rPr>
                  <w:rStyle w:val="InternetLink"/>
                  <w:rFonts w:ascii="Times New Roman;Times;Serif" w:hAnsi="Times New Roman;Times;Serif"/>
                  <w:sz w:val="20"/>
                </w:rPr>
                <w:t>5.1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0" w:type="dxa"/>
            <w:tcBorders/>
            <w:shd w:fill="FFFFFF" w:val="clear"/>
            <w:tcMar>
              <w:bottom w:w="0" w:type="dxa"/>
            </w:tcMar>
            <w:vAlign w:val="center"/>
          </w:tcPr>
          <w:p>
            <w:pPr>
              <w:pStyle w:val="TableContents"/>
              <w:bidi w:val="0"/>
              <w:spacing w:before="0" w:after="283"/>
              <w:jc w:val="left"/>
              <w:rPr/>
            </w:pPr>
            <w:hyperlink w:anchor="tm2625897d1_ex5-1.htm">
              <w:r>
                <w:rPr>
                  <w:rStyle w:val="InternetLink"/>
                  <w:rFonts w:ascii="Times New Roman;Times;Serif" w:hAnsi="Times New Roman;Times;Serif"/>
                  <w:sz w:val="20"/>
                </w:rPr>
                <w:t>Opinion of Baker &amp; Hostetler LLP regarding the validity of the Shares.*</w:t>
              </w:r>
            </w:hyperlink>
          </w:p>
        </w:tc>
      </w:tr>
      <w:tr>
        <w:trPr/>
        <w:tc>
          <w:tcPr>
            <w:tcW w:w="695" w:type="dxa"/>
            <w:tcBorders/>
            <w:shd w:fill="CCEEFF" w:val="clear"/>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sz w:val="2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50" w:type="dxa"/>
            <w:tcBorders/>
            <w:shd w:fill="CCEEFF" w:val="clear"/>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sz w:val="20"/>
                </w:rPr>
                <w:t>Form of Securities Purchase Agreement, dated September 11, 2026 (incorporated by reference to Exhibit 10.1 to the Company’s Current Report on Form 8-K filed September 14, 2026).</w:t>
              </w:r>
            </w:hyperlink>
          </w:p>
        </w:tc>
      </w:tr>
      <w:tr>
        <w:trPr/>
        <w:tc>
          <w:tcPr>
            <w:tcW w:w="695" w:type="dxa"/>
            <w:tcBorders/>
            <w:shd w:fill="FFFFFF" w:val="clear"/>
            <w:tcMar>
              <w:bottom w:w="0" w:type="dxa"/>
            </w:tcMar>
            <w:vAlign w:val="center"/>
          </w:tcPr>
          <w:p>
            <w:pPr>
              <w:pStyle w:val="TableContents"/>
              <w:bidi w:val="0"/>
              <w:spacing w:before="0" w:after="283"/>
              <w:jc w:val="left"/>
              <w:rPr/>
            </w:pPr>
            <w:hyperlink r:id="rId25">
              <w:r>
                <w:rPr>
                  <w:rStyle w:val="InternetLink"/>
                  <w:rFonts w:ascii="Times New Roman;Times;Serif" w:hAnsi="Times New Roman;Times;Serif"/>
                  <w:sz w:val="20"/>
                </w:rPr>
                <w:t>10.2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0" w:type="dxa"/>
            <w:tcBorders/>
            <w:shd w:fill="FFFFFF" w:val="clear"/>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Form of Registration Rights Agreement, dated September 11, 2026 (incorporated by reference to Exhibit 10.2 to the Company’s Current Report on Form 8-K filed September 14, 2026).</w:t>
              </w:r>
            </w:hyperlink>
          </w:p>
        </w:tc>
      </w:tr>
      <w:tr>
        <w:trPr/>
        <w:tc>
          <w:tcPr>
            <w:tcW w:w="695" w:type="dxa"/>
            <w:tcBorders/>
            <w:shd w:fill="CCEEFF" w:val="clear"/>
            <w:tcMar>
              <w:bottom w:w="0" w:type="dxa"/>
            </w:tcMar>
            <w:vAlign w:val="center"/>
          </w:tcPr>
          <w:p>
            <w:pPr>
              <w:pStyle w:val="TableContents"/>
              <w:bidi w:val="0"/>
              <w:spacing w:before="0" w:after="283"/>
              <w:jc w:val="left"/>
              <w:rPr/>
            </w:pPr>
            <w:hyperlink w:anchor="tm2625897d1_ex23-1.htm">
              <w:r>
                <w:rPr>
                  <w:rStyle w:val="InternetLink"/>
                  <w:rFonts w:ascii="Times New Roman;Times;Serif" w:hAnsi="Times New Roman;Times;Serif"/>
                  <w:sz w:val="20"/>
                </w:rPr>
                <w:t>23.1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50" w:type="dxa"/>
            <w:tcBorders/>
            <w:shd w:fill="CCEEFF" w:val="clear"/>
            <w:tcMar>
              <w:bottom w:w="0" w:type="dxa"/>
            </w:tcMar>
            <w:vAlign w:val="center"/>
          </w:tcPr>
          <w:p>
            <w:pPr>
              <w:pStyle w:val="TableContents"/>
              <w:bidi w:val="0"/>
              <w:spacing w:before="0" w:after="283"/>
              <w:jc w:val="left"/>
              <w:rPr/>
            </w:pPr>
            <w:hyperlink w:anchor="tm2625897d1_ex23-1.htm">
              <w:r>
                <w:rPr>
                  <w:rStyle w:val="InternetLink"/>
                  <w:rFonts w:ascii="Times New Roman;Times;Serif" w:hAnsi="Times New Roman;Times;Serif"/>
                  <w:sz w:val="20"/>
                </w:rPr>
                <w:t>Consent of UHY LLP.*</w:t>
              </w:r>
            </w:hyperlink>
          </w:p>
        </w:tc>
      </w:tr>
      <w:tr>
        <w:trPr/>
        <w:tc>
          <w:tcPr>
            <w:tcW w:w="695" w:type="dxa"/>
            <w:tcBorders/>
            <w:shd w:fill="FFFFFF" w:val="clear"/>
            <w:tcMar>
              <w:bottom w:w="0" w:type="dxa"/>
            </w:tcMar>
            <w:vAlign w:val="center"/>
          </w:tcPr>
          <w:p>
            <w:pPr>
              <w:pStyle w:val="TableContents"/>
              <w:bidi w:val="0"/>
              <w:spacing w:before="0" w:after="283"/>
              <w:jc w:val="left"/>
              <w:rPr/>
            </w:pPr>
            <w:hyperlink w:anchor="tm2625897d1_ex23-2.htm">
              <w:r>
                <w:rPr>
                  <w:rStyle w:val="InternetLink"/>
                  <w:rFonts w:ascii="Times New Roman;Times;Serif" w:hAnsi="Times New Roman;Times;Serif"/>
                  <w:sz w:val="20"/>
                </w:rPr>
                <w:t>23.2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0" w:type="dxa"/>
            <w:tcBorders/>
            <w:shd w:fill="FFFFFF" w:val="clear"/>
            <w:tcMar>
              <w:bottom w:w="0" w:type="dxa"/>
            </w:tcMar>
            <w:vAlign w:val="center"/>
          </w:tcPr>
          <w:p>
            <w:pPr>
              <w:pStyle w:val="TableContents"/>
              <w:bidi w:val="0"/>
              <w:spacing w:before="0" w:after="283"/>
              <w:jc w:val="left"/>
              <w:rPr/>
            </w:pPr>
            <w:hyperlink w:anchor="tm2625897d1_ex23-2.htm">
              <w:r>
                <w:rPr>
                  <w:rStyle w:val="InternetLink"/>
                  <w:rFonts w:ascii="Times New Roman;Times;Serif" w:hAnsi="Times New Roman;Times;Serif"/>
                  <w:sz w:val="20"/>
                </w:rPr>
                <w:t>Consent of EisnerAmper LLP.*</w:t>
              </w:r>
            </w:hyperlink>
          </w:p>
        </w:tc>
      </w:tr>
      <w:tr>
        <w:trPr/>
        <w:tc>
          <w:tcPr>
            <w:tcW w:w="695" w:type="dxa"/>
            <w:tcBorders/>
            <w:shd w:fill="CCEEFF" w:val="clear"/>
            <w:tcMar>
              <w:bottom w:w="0" w:type="dxa"/>
            </w:tcMar>
            <w:vAlign w:val="center"/>
          </w:tcPr>
          <w:p>
            <w:pPr>
              <w:pStyle w:val="TableContents"/>
              <w:bidi w:val="0"/>
              <w:spacing w:before="0" w:after="283"/>
              <w:jc w:val="left"/>
              <w:rPr/>
            </w:pPr>
            <w:hyperlink w:anchor="tm2625897d1_ex5-1.htm">
              <w:r>
                <w:rPr>
                  <w:rStyle w:val="InternetLink"/>
                  <w:rFonts w:ascii="Times New Roman;Times;Serif" w:hAnsi="Times New Roman;Times;Serif"/>
                  <w:sz w:val="20"/>
                </w:rPr>
                <w:t>23.3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50" w:type="dxa"/>
            <w:tcBorders/>
            <w:shd w:fill="CCEEFF" w:val="clear"/>
            <w:tcMar>
              <w:bottom w:w="0" w:type="dxa"/>
            </w:tcMar>
            <w:vAlign w:val="center"/>
          </w:tcPr>
          <w:p>
            <w:pPr>
              <w:pStyle w:val="TableContents"/>
              <w:bidi w:val="0"/>
              <w:spacing w:before="0" w:after="283"/>
              <w:jc w:val="left"/>
              <w:rPr/>
            </w:pPr>
            <w:hyperlink w:anchor="tm2625897d1_ex5-1.htm">
              <w:r>
                <w:rPr>
                  <w:rStyle w:val="InternetLink"/>
                  <w:rFonts w:ascii="Times New Roman;Times;Serif" w:hAnsi="Times New Roman;Times;Serif"/>
                  <w:sz w:val="20"/>
                </w:rPr>
                <w:t>Consent of Baker &amp; Hostetler LLP (included in Exhibit 5.1).*</w:t>
              </w:r>
            </w:hyperlink>
          </w:p>
        </w:tc>
      </w:tr>
      <w:tr>
        <w:trPr/>
        <w:tc>
          <w:tcPr>
            <w:tcW w:w="695" w:type="dxa"/>
            <w:tcBorders/>
            <w:shd w:fill="FFFFFF" w:val="clear"/>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50" w:type="dxa"/>
            <w:tcBorders/>
            <w:shd w:fill="FFFFFF" w:val="clear"/>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the signature page).</w:t>
              </w:r>
            </w:hyperlink>
          </w:p>
        </w:tc>
      </w:tr>
      <w:tr>
        <w:trPr/>
        <w:tc>
          <w:tcPr>
            <w:tcW w:w="695" w:type="dxa"/>
            <w:tcBorders/>
            <w:shd w:fill="CCEEFF" w:val="clear"/>
            <w:tcMar>
              <w:bottom w:w="0" w:type="dxa"/>
            </w:tcMar>
            <w:vAlign w:val="center"/>
          </w:tcPr>
          <w:p>
            <w:pPr>
              <w:pStyle w:val="TableContents"/>
              <w:bidi w:val="0"/>
              <w:spacing w:before="0" w:after="283"/>
              <w:jc w:val="left"/>
              <w:rPr/>
            </w:pPr>
            <w:hyperlink w:anchor="tm2625897d1_ex-filingfees.htm">
              <w:r>
                <w:rPr>
                  <w:rStyle w:val="InternetLink"/>
                  <w:rFonts w:ascii="Times New Roman;Times;Serif" w:hAnsi="Times New Roman;Times;Serif"/>
                  <w:sz w:val="20"/>
                </w:rPr>
                <w:t>107</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50" w:type="dxa"/>
            <w:tcBorders/>
            <w:shd w:fill="CCEEFF" w:val="clear"/>
            <w:tcMar>
              <w:bottom w:w="0" w:type="dxa"/>
            </w:tcMar>
            <w:vAlign w:val="center"/>
          </w:tcPr>
          <w:p>
            <w:pPr>
              <w:pStyle w:val="TableContents"/>
              <w:bidi w:val="0"/>
              <w:spacing w:before="0" w:after="283"/>
              <w:jc w:val="left"/>
              <w:rPr/>
            </w:pPr>
            <w:hyperlink w:anchor="tm2625897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125"/>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Monica, State of California, on September 22, 2026.</w:t>
      </w:r>
    </w:p>
    <w:p>
      <w:pPr>
        <w:pStyle w:val="TextBody"/>
        <w:bidi w:val="0"/>
        <w:spacing w:before="0" w:after="0"/>
        <w:ind w:left="0" w:right="0" w:hanging="0"/>
        <w:jc w:val="left"/>
        <w:rPr>
          <w:caps w:val="false"/>
          <w:smallCaps w:val="false"/>
        </w:rPr>
      </w:pPr>
      <w:r>
        <w:rPr>
          <w:caps w:val="false"/>
          <w:smallCaps w:val="false"/>
        </w:rPr>
        <w:t> </w:t>
      </w:r>
    </w:p>
    <w:tbl>
      <w:tblPr>
        <w:tblW w:w="2944" w:type="dxa"/>
        <w:jc w:val="left"/>
        <w:tblInd w:w="0" w:type="dxa"/>
        <w:tblLayout w:type="fixed"/>
        <w:tblCellMar>
          <w:top w:w="0" w:type="dxa"/>
          <w:left w:w="0" w:type="dxa"/>
          <w:bottom w:w="0" w:type="dxa"/>
          <w:right w:w="0" w:type="dxa"/>
        </w:tblCellMar>
      </w:tblPr>
      <w:tblGrid>
        <w:gridCol w:w="75"/>
        <w:gridCol w:w="499"/>
        <w:gridCol w:w="2370"/>
      </w:tblGrid>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XBP GLOBAL HOLDINGS, INC.</w:t>
            </w:r>
          </w:p>
        </w:tc>
      </w:tr>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Andrej Jonovic</w:t>
            </w:r>
          </w:p>
        </w:tc>
      </w:tr>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Andrej Jonovic</w:t>
            </w:r>
          </w:p>
        </w:tc>
      </w:tr>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1"/>
      <w:bookmarkEnd w:id="14"/>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Andrej Jonovic and Dejan Avramovic, each with the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indicated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28" w:type="dxa"/>
          <w:right w:w="0" w:type="dxa"/>
        </w:tblCellMar>
      </w:tblPr>
      <w:tblGrid>
        <w:gridCol w:w="1805"/>
        <w:gridCol w:w="60"/>
        <w:gridCol w:w="3530"/>
        <w:gridCol w:w="60"/>
        <w:gridCol w:w="1655"/>
      </w:tblGrid>
      <w:tr>
        <w:trPr/>
        <w:tc>
          <w:tcPr>
            <w:tcW w:w="1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53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Andrej Jonovic</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22, 2026</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Andrej Jonovic</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Dejan Avramovic</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(Principal Financial</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22, 2026</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Dejan Avramovic</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 Accounting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Par Chadha</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22, 2026</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Chadha</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Randal Klein</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22, 2026</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Randal Klein</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Regina Paolillo</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22, 2026</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Regina Paolillo</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Pryor</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22, 2026</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Pryor</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G. Reynolds</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22, 2026</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G. Reynolds</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Sanjay Srivastava</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22, 2026</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Sanjay Srivastava</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tm2625897d1_ex5-1.htm"/>
      <w:bookmarkStart w:id="16" w:name="kstm2625897d1_ex51"/>
      <w:bookmarkEnd w:id="15"/>
      <w:bookmarkEnd w:id="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both"/>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3645"/>
        <w:gridCol w:w="2520"/>
      </w:tblGrid>
      <w:tr>
        <w:trPr/>
        <w:tc>
          <w:tcPr>
            <w:tcW w:w="3645" w:type="dxa"/>
            <w:tcBorders/>
            <w:vAlign w:val="center"/>
          </w:tcPr>
          <w:p>
            <w:pPr>
              <w:pStyle w:val="TableContents"/>
              <w:bidi w:val="0"/>
              <w:spacing w:before="0" w:after="283"/>
              <w:jc w:val="left"/>
              <w:rPr/>
            </w:pPr>
            <w:r>
              <w:rPr/>
              <w:drawing>
                <wp:inline distT="0" distB="0" distL="0" distR="0">
                  <wp:extent cx="230505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2305050" cy="371475"/>
                          </a:xfrm>
                          <a:prstGeom prst="rect">
                            <a:avLst/>
                          </a:prstGeom>
                        </pic:spPr>
                      </pic:pic>
                    </a:graphicData>
                  </a:graphic>
                </wp:inline>
              </w:drawing>
            </w:r>
          </w:p>
        </w:tc>
        <w:tc>
          <w:tcPr>
            <w:tcW w:w="25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3645" w:type="dxa"/>
            <w:tcBorders/>
            <w:vAlign w:val="center"/>
          </w:tcPr>
          <w:p>
            <w:pPr>
              <w:pStyle w:val="TableContents"/>
              <w:bidi w:val="0"/>
              <w:spacing w:before="0" w:after="283"/>
              <w:jc w:val="left"/>
              <w:rPr/>
            </w:pPr>
            <w:r>
              <w:rPr/>
              <w:t> </w:t>
            </w:r>
          </w:p>
        </w:tc>
        <w:tc>
          <w:tcPr>
            <w:tcW w:w="2520" w:type="dxa"/>
            <w:tcBorders/>
            <w:vAlign w:val="center"/>
          </w:tcPr>
          <w:p>
            <w:pPr>
              <w:pStyle w:val="TableContents"/>
              <w:bidi w:val="0"/>
              <w:spacing w:before="0" w:after="283"/>
              <w:jc w:val="right"/>
              <w:rPr/>
            </w:pPr>
            <w:r>
              <w:rPr/>
              <w:t> </w:t>
            </w:r>
            <w:r>
              <w:rPr/>
              <w:drawing>
                <wp:inline distT="0" distB="0" distL="0" distR="0">
                  <wp:extent cx="1552575" cy="1181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8"/>
                          <a:stretch>
                            <a:fillRect/>
                          </a:stretch>
                        </pic:blipFill>
                        <pic:spPr bwMode="auto">
                          <a:xfrm>
                            <a:off x="0" y="0"/>
                            <a:ext cx="1552575" cy="11811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XBP Global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6641 N. Belt Line Road, Suite 100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Irving, Texas 75061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XBP Global Holdings,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of a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the prospectus that is part of the Registration Statement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filed on the date hereof,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Registration Statement relates to the registration of the resale by the selling stockholders named in the Prospectus (the “</w:t>
      </w:r>
      <w:r>
        <w:rPr>
          <w:rFonts w:ascii="Times New Roman;Times;Serif" w:hAnsi="Times New Roman;Times;Serif"/>
          <w:b/>
          <w:i/>
          <w:caps w:val="false"/>
          <w:smallCaps w:val="false"/>
          <w:sz w:val="20"/>
        </w:rPr>
        <w:t>Selling Stockholders</w:t>
      </w:r>
      <w:r>
        <w:rPr>
          <w:rFonts w:ascii="Times New Roman;Times;Serif" w:hAnsi="Times New Roman;Times;Serif"/>
          <w:b w:val="false"/>
          <w:i w:val="false"/>
          <w:caps w:val="false"/>
          <w:smallCaps w:val="false"/>
          <w:sz w:val="20"/>
        </w:rPr>
        <w:t>”) of up to an aggregate of 2,275,245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from time to time by the Selling Stockholders pursuant to Rule 415 of the Securities Act. This opinion is being rendered pursuant to Item 601(b)(5) of Regulation S-K and in connection with the filing of the Registration Statement with the Commission. All capitalized terms used herein and not otherwise defined shall have the respective meanings given to them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limitations set forth below, we are of the opinion that the Shares offered pursuant to the Registration Statement have been duly authorized and are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029325" cy="304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9"/>
                    <a:stretch>
                      <a:fillRect/>
                    </a:stretch>
                  </pic:blipFill>
                  <pic:spPr bwMode="auto">
                    <a:xfrm>
                      <a:off x="0" y="0"/>
                      <a:ext cx="6029325" cy="304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General Corporation Law of the State of Delaware and we express no opinion as to the effect on the matters covered by this letter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officers of the Company, and other sources believed by us to be responsible.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letter as Exhibit 5.1 to the Registration Statement and to the reference to our firm in the Prospectus under the heading “Legal Matters.” In giving such consent, we do not hereby admit that we are in the category of persons whose consent is required under Section 7 of the Securities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75"/>
        <w:gridCol w:w="2435"/>
      </w:tblGrid>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&amp; Hostetler LLP</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HOSTETLER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tm2625897d1_ex23-1.htm"/>
      <w:bookmarkStart w:id="18" w:name="kstm2625897d1_ex231"/>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tbl>
      <w:tblPr>
        <w:tblW w:w="2790" w:type="dxa"/>
        <w:jc w:val="left"/>
        <w:tblInd w:w="0" w:type="dxa"/>
        <w:tblLayout w:type="fixed"/>
        <w:tblCellMar>
          <w:top w:w="0" w:type="dxa"/>
          <w:left w:w="0" w:type="dxa"/>
          <w:bottom w:w="0" w:type="dxa"/>
          <w:right w:w="0" w:type="dxa"/>
        </w:tblCellMar>
      </w:tblPr>
      <w:tblGrid>
        <w:gridCol w:w="2790"/>
      </w:tblGrid>
      <w:tr>
        <w:trPr/>
        <w:tc>
          <w:tcPr>
            <w:tcW w:w="2790" w:type="dxa"/>
            <w:tcBorders/>
            <w:vAlign w:val="center"/>
          </w:tcPr>
          <w:p>
            <w:pPr>
              <w:pStyle w:val="TableContents"/>
              <w:bidi w:val="0"/>
              <w:spacing w:before="0" w:after="283"/>
              <w:jc w:val="left"/>
              <w:rPr/>
            </w:pPr>
            <w:r>
              <w:rPr/>
              <w:drawing>
                <wp:inline distT="0" distB="0" distL="0" distR="0">
                  <wp:extent cx="1752600" cy="47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0"/>
                          <a:stretch>
                            <a:fillRect/>
                          </a:stretch>
                        </pic:blipFill>
                        <pic:spPr bwMode="auto">
                          <a:xfrm>
                            <a:off x="0" y="0"/>
                            <a:ext cx="1752600" cy="4762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our report dated March 31, 2026, with respect to the consolidated and combined financial statements of XBP Global Holdings, Inc. as of December 31, 2025 (Successor), and for the five-month period ended December 31, 2025 (Successor) and the seven-month period ended July 31, 2025 (Predecessor).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use of our name as it appears under the caption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UHY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Sterling Heights, Michigan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9" w:name="tm2625897d1_ex23-2.htm"/>
      <w:bookmarkStart w:id="20" w:name="kstm2625897d1_ex232"/>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XBP Global Holdings, Inc. on Form S-3 to be filed on or about September 22, 2026 of our report dated July 1, 2025, except as to Note 21 and its related effects to the consolidated and combined financial statements, which is as of March 31, 2026, on our audit of the combined and consolidated financial statements of Exela Technologies BPA, LLC, Subsidiaries and Affiliates for the year ended December 31, 2024, which report is included in XBP Global Holdings, Inc.’s Annual Report on Form 10-K filed on March 31, 2026. We also consent to the reference to our firm under the caption “Experts” in this 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EisnerAmper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EISNERAMPER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 w:name="tm2625897d1_ex-filingfees.htm"/>
      <w:bookmarkStart w:id="22" w:name="kstm2625897d1_exfilingfees"/>
      <w:bookmarkStart w:id="23" w:name="tm2625897d1_ex-filingfees.htm"/>
      <w:bookmarkStart w:id="24" w:name="kstm2625897d1_exfilingfees"/>
      <w:bookmarkEnd w:id="23"/>
      <w:bookmarkEnd w:id="24"/>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XBP Global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2,275,245 </w:t>
            </w:r>
          </w:p>
        </w:tc>
        <w:tc>
          <w:tcPr>
            <w:tcW w:w="1156" w:type="dxa"/>
            <w:tcBorders/>
            <w:shd w:fill="E7E7E2" w:val="clear"/>
            <w:vAlign w:val="center"/>
          </w:tcPr>
          <w:p>
            <w:pPr>
              <w:pStyle w:val="TableContents"/>
              <w:bidi w:val="0"/>
              <w:spacing w:before="0" w:after="283"/>
              <w:jc w:val="right"/>
              <w:rPr/>
            </w:pPr>
            <w:r>
              <w:rPr/>
              <w:t xml:space="preserve">$ 2.95 </w:t>
            </w:r>
          </w:p>
        </w:tc>
        <w:tc>
          <w:tcPr>
            <w:tcW w:w="1546" w:type="dxa"/>
            <w:tcBorders/>
            <w:shd w:fill="E7E7E2" w:val="clear"/>
            <w:vAlign w:val="center"/>
          </w:tcPr>
          <w:p>
            <w:pPr>
              <w:pStyle w:val="TableContents"/>
              <w:bidi w:val="0"/>
              <w:spacing w:before="0" w:after="283"/>
              <w:jc w:val="right"/>
              <w:rPr/>
            </w:pPr>
            <w:r>
              <w:rPr/>
              <w:t xml:space="preserve">$ 6,711,972.75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$ 926.92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5" w:name="MaxAggtOfferingPrice"/>
            <w:bookmarkEnd w:id="25"/>
            <w:r>
              <w:rPr/>
              <w:t xml:space="preserve">$ 6,711,972.75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6" w:name="TotalFeeAmt"/>
            <w:bookmarkEnd w:id="26"/>
            <w:r>
              <w:rPr/>
              <w:t xml:space="preserve">$ 926.92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PreviouslyPaid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Offset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NetFeeAmt"/>
            <w:bookmarkEnd w:id="29"/>
            <w:r>
              <w:rPr/>
              <w:t xml:space="preserve">$ 926.92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The shares of the Registrant's common stock, $0.0001 par value per share (the "Common Stock") will be offered for resale by the selling stockholders pursuant to the prospectus contained herein. Pursuant to Rule 416 under the Securities Act of 1933, as amended (the "Securities Act"), this registration statement also covers any additional number of shares of Common Stock issuable upon stock splits, stock dividends, or other distribution, recapitalization or similar events with respect to the shares of Common Stock being registered pursuant to this registration statement. (2) This registration statement registers the resale of up to 2,275,245 shares of Common Stock that may be offered and sold from time to time in one or more offerings by the selling stockholders identified therein. (3) Estimated solely for purposes of calculating the registration fee pursuant to Rule 457(c) under the Securities Act, based on the average of the high ($3.00) and low ($2.9001) prices per share of the Common Stock as reported on the Nasdaq Capital Market on September 16, 2026 (such date being within five business days prior to the date of filing).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39530/000110465926107322/tm2623653d2_8k.htm" TargetMode="External"/><Relationship Id="rId4" Type="http://schemas.openxmlformats.org/officeDocument/2006/relationships/hyperlink" Target="https://www.sec.gov/Archives/edgar/data/1839530/000110465926037421/xbp-20251231xex4d6.htm" TargetMode="External"/><Relationship Id="rId5" Type="http://schemas.openxmlformats.org/officeDocument/2006/relationships/hyperlink" Target="https://www.sec.gov/ix?doc=/Archives/edgar/data/1839530/000110465926037421/xbp-20251231x10k.htm" TargetMode="External"/><Relationship Id="rId6" Type="http://schemas.openxmlformats.org/officeDocument/2006/relationships/hyperlink" Target="https://www.sec.gov/ix?doc=/Archives/edgar/data/1839530/000110465926062511/xbp-20260331x10q.htm" TargetMode="External"/><Relationship Id="rId7" Type="http://schemas.openxmlformats.org/officeDocument/2006/relationships/hyperlink" Target="https://www.sec.gov/ix?doc=/Archives/edgar/data/1839530/000110465926097350/xbp-20260630x10q.htm" TargetMode="External"/><Relationship Id="rId8" Type="http://schemas.openxmlformats.org/officeDocument/2006/relationships/hyperlink" Target="https://www.sec.gov/ix?doc=/Archives/edgar/data/1839530/000110465926001093/xbp-20260106x8k.htm" TargetMode="External"/><Relationship Id="rId9" Type="http://schemas.openxmlformats.org/officeDocument/2006/relationships/hyperlink" Target="https://www.sec.gov/ix?doc=/Archives/edgar/data/1839530/000110465926027089/xbp-20260306x8k.htm" TargetMode="External"/><Relationship Id="rId10" Type="http://schemas.openxmlformats.org/officeDocument/2006/relationships/hyperlink" Target="https://www.sec.gov/ix?doc=/Archives/edgar/data/1839530/000110465926068996/tm2616124d2_8k.htm" TargetMode="External"/><Relationship Id="rId11" Type="http://schemas.openxmlformats.org/officeDocument/2006/relationships/hyperlink" Target="https://www.sec.gov/ix?doc=/Archives/edgar/data/1839530/000110465926107322/tm2623653d2_8k.htm" TargetMode="External"/><Relationship Id="rId12" Type="http://schemas.openxmlformats.org/officeDocument/2006/relationships/hyperlink" Target="https://www.sec.gov/Archives/edgar/data/1839530/000110465926037421/xbp-20251231xex4d6.htm" TargetMode="External"/><Relationship Id="rId13" Type="http://schemas.openxmlformats.org/officeDocument/2006/relationships/hyperlink" Target="https://www.sec.gov/Archives/edgar/data/1839530/000110465925073718/tm2521952d1_ex3-2.htm" TargetMode="External"/><Relationship Id="rId14" Type="http://schemas.openxmlformats.org/officeDocument/2006/relationships/hyperlink" Target="https://www.sec.gov/Archives/edgar/data/1839530/000110465925073718/tm2521952d1_ex3-2.htm" TargetMode="External"/><Relationship Id="rId15" Type="http://schemas.openxmlformats.org/officeDocument/2006/relationships/hyperlink" Target="https://www.sec.gov/Archives/edgar/data/1839530/000110465925073718/tm2521952d1_ex3-4.htm" TargetMode="External"/><Relationship Id="rId16" Type="http://schemas.openxmlformats.org/officeDocument/2006/relationships/hyperlink" Target="https://www.sec.gov/Archives/edgar/data/1839530/000110465925073718/tm2521952d1_ex3-4.htm" TargetMode="External"/><Relationship Id="rId17" Type="http://schemas.openxmlformats.org/officeDocument/2006/relationships/hyperlink" Target="https://www.sec.gov/Archives/edgar/data/1839530/000110465925073718/tm2521952d1_ex3-1.htm" TargetMode="External"/><Relationship Id="rId18" Type="http://schemas.openxmlformats.org/officeDocument/2006/relationships/hyperlink" Target="https://www.sec.gov/Archives/edgar/data/1839530/000110465925073718/tm2521952d1_ex3-1.htm" TargetMode="External"/><Relationship Id="rId19" Type="http://schemas.openxmlformats.org/officeDocument/2006/relationships/hyperlink" Target="https://www.sec.gov/Archives/edgar/data/1839530/000110465925073718/tm2521952d1_ex3-3.htm" TargetMode="External"/><Relationship Id="rId20" Type="http://schemas.openxmlformats.org/officeDocument/2006/relationships/hyperlink" Target="https://www.sec.gov/Archives/edgar/data/1839530/000110465925073718/tm2521952d1_ex3-3.htm" TargetMode="External"/><Relationship Id="rId21" Type="http://schemas.openxmlformats.org/officeDocument/2006/relationships/hyperlink" Target="https://www.sec.gov/Archives/edgar/data/1839530/000110465925073718/tm2521952d1_ex4-2.htm" TargetMode="External"/><Relationship Id="rId22" Type="http://schemas.openxmlformats.org/officeDocument/2006/relationships/hyperlink" Target="https://www.sec.gov/Archives/edgar/data/1839530/000110465925073718/tm2521952d1_ex4-2.htm" TargetMode="External"/><Relationship Id="rId23" Type="http://schemas.openxmlformats.org/officeDocument/2006/relationships/hyperlink" Target="https://www.sec.gov/Archives/edgar/data/1839530/000110465926107322/tm2623653d2_ex10-1.htm" TargetMode="External"/><Relationship Id="rId24" Type="http://schemas.openxmlformats.org/officeDocument/2006/relationships/hyperlink" Target="https://www.sec.gov/Archives/edgar/data/1839530/000110465926107322/tm2623653d2_ex10-1.htm" TargetMode="External"/><Relationship Id="rId25" Type="http://schemas.openxmlformats.org/officeDocument/2006/relationships/hyperlink" Target="https://www.sec.gov/Archives/edgar/data/1839530/000110465926107322/tm2623653d2_ex10-2.htm" TargetMode="External"/><Relationship Id="rId26" Type="http://schemas.openxmlformats.org/officeDocument/2006/relationships/hyperlink" Target="https://www.sec.gov/Archives/edgar/data/1839530/000110465926107322/tm2623653d2_ex10-2.htm" TargetMode="External"/><Relationship Id="rId27" Type="http://schemas.openxmlformats.org/officeDocument/2006/relationships/image" Target="media/image2.jpeg"/><Relationship Id="rId28" Type="http://schemas.openxmlformats.org/officeDocument/2006/relationships/image" Target="media/image3.jpeg"/><Relationship Id="rId29" Type="http://schemas.openxmlformats.org/officeDocument/2006/relationships/image" Target="media/image4.jpeg"/><Relationship Id="rId30" Type="http://schemas.openxmlformats.org/officeDocument/2006/relationships/image" Target="media/image5.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15648</Words>
  <Characters>84468</Characters>
  <CharactersWithSpaces>100286</CharactersWithSpaces>
  <Paragraphs>1271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