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both"/>
        <w:rPr/>
      </w:pPr>
      <w:bookmarkStart w:id="0" w:name="xbp-20260514x8k.htm"/>
      <w:bookmarkStart w:id="1" w:name="ksxbp20260514x8k"/>
      <w:bookmarkEnd w:id="0"/>
      <w:bookmarkEnd w:id="1"/>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18752970_61c8_460f_bc1a_a35e6ccbb4ff"/>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Section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May 14,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XBP Global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xilbnTEFnUe-JjTCC_z5Wg_2_4"/>
      <w:bookmarkStart w:id="4" w:name="Tc_BWMq2WlhYEeVMiQSy6sO9A_2_2"/>
      <w:bookmarkStart w:id="5" w:name="Tc_fzJA7xKNdUWfyHeox1pe-A_2_0"/>
      <w:bookmarkStart w:id="6" w:name="_c85d9fcd_c04f_410c_96e6_ebf7abc81d99"/>
      <w:bookmarkStart w:id="7" w:name="Tc_xilbnTEFnUe-JjTCC_z5Wg_2_4"/>
      <w:bookmarkStart w:id="8" w:name="Tc_BWMq2WlhYEeVMiQSy6sO9A_2_2"/>
      <w:bookmarkStart w:id="9" w:name="Tc_fzJA7xKNdUWfyHeox1pe-A_2_0"/>
      <w:bookmarkStart w:id="10" w:name="_c85d9fcd_c04f_410c_96e6_ebf7abc81d99"/>
      <w:bookmarkEnd w:id="7"/>
      <w:bookmarkEnd w:id="8"/>
      <w:bookmarkEnd w:id="9"/>
      <w:bookmarkEnd w:id="10"/>
    </w:p>
    <w:tbl>
      <w:tblPr>
        <w:tblW w:w="10205" w:type="dxa"/>
        <w:jc w:val="left"/>
        <w:tblInd w:w="0" w:type="dxa"/>
        <w:tblLayout w:type="fixed"/>
        <w:tblCellMar>
          <w:top w:w="0" w:type="dxa"/>
          <w:left w:w="0" w:type="dxa"/>
          <w:bottom w:w="0" w:type="dxa"/>
          <w:right w:w="0" w:type="dxa"/>
        </w:tblCellMar>
      </w:tblPr>
      <w:tblGrid>
        <w:gridCol w:w="4355"/>
        <w:gridCol w:w="346"/>
        <w:gridCol w:w="2114"/>
        <w:gridCol w:w="346"/>
        <w:gridCol w:w="3044"/>
      </w:tblGrid>
      <w:tr>
        <w:trPr/>
        <w:tc>
          <w:tcPr>
            <w:tcW w:w="4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5425" cy="175260"/>
                      <wp:effectExtent l="0" t="0" r="0" b="0"/>
                      <wp:wrapNone/>
                      <wp:docPr id="1" name="Frame1"/>
                      <a:graphic xmlns:a="http://schemas.openxmlformats.org/drawingml/2006/main">
                        <a:graphicData uri="http://schemas.microsoft.com/office/word/2010/wordprocessingShape">
                          <wps:wsp>
                            <wps:cNvSpPr txBox="1"/>
                            <wps:spPr>
                              <a:xfrm>
                                <a:off x="0" y="0"/>
                                <a:ext cx="276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42390" cy="175260"/>
                      <wp:effectExtent l="0" t="0" r="0" b="0"/>
                      <wp:wrapNone/>
                      <wp:docPr id="2" name="Frame2"/>
                      <a:graphic xmlns:a="http://schemas.openxmlformats.org/drawingml/2006/main">
                        <a:graphicData uri="http://schemas.microsoft.com/office/word/2010/wordprocessingShape">
                          <wps:wsp>
                            <wps:cNvSpPr txBox="1"/>
                            <wps:spPr>
                              <a:xfrm>
                                <a:off x="0" y="0"/>
                                <a:ext cx="134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932940" cy="175260"/>
                      <wp:effectExtent l="0" t="0" r="0" b="0"/>
                      <wp:wrapNone/>
                      <wp:docPr id="3" name="Frame3"/>
                      <a:graphic xmlns:a="http://schemas.openxmlformats.org/drawingml/2006/main">
                        <a:graphicData uri="http://schemas.microsoft.com/office/word/2010/wordprocessingShape">
                          <wps:wsp>
                            <wps:cNvSpPr txBox="1"/>
                            <wps:spPr>
                              <a:xfrm>
                                <a:off x="0" y="0"/>
                                <a:ext cx="193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211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001-40206</w:t>
            </w:r>
          </w:p>
        </w:tc>
        <w:tc>
          <w:tcPr>
            <w:tcW w:w="346" w:type="dxa"/>
            <w:tcBorders/>
            <w:vAlign w:val="center"/>
          </w:tcPr>
          <w:p>
            <w:pPr>
              <w:pStyle w:val="TableContents"/>
              <w:bidi w:val="0"/>
              <w:spacing w:before="0" w:after="0"/>
              <w:ind w:left="0" w:right="0" w:hanging="0"/>
              <w:jc w:val="left"/>
              <w:rPr/>
            </w:pPr>
            <w:r>
              <w:rPr/>
              <w:t>  ​ ​ ​</w:t>
            </w:r>
          </w:p>
        </w:tc>
        <w:tc>
          <w:tcPr>
            <w:tcW w:w="30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85-2002883</w:t>
            </w:r>
          </w:p>
        </w:tc>
      </w:tr>
      <w:tr>
        <w:trPr/>
        <w:tc>
          <w:tcPr>
            <w:tcW w:w="43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1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30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j44HtPaGEWSS2zmP4E64Q_2_2"/>
      <w:bookmarkStart w:id="12" w:name="Tc_ExttyLYD0EqAnbzM-D4bWw_2_0"/>
      <w:bookmarkStart w:id="13" w:name="Tc_Lp_n0IJfGk-rf0Ivr9lJbA_1_0"/>
      <w:bookmarkStart w:id="14" w:name="_e025f2a0_310b_400f_a0b5_a54a126472dd"/>
      <w:bookmarkStart w:id="15" w:name="Tc_-j44HtPaGEWSS2zmP4E64Q_2_2"/>
      <w:bookmarkStart w:id="16" w:name="Tc_ExttyLYD0EqAnbzM-D4bWw_2_0"/>
      <w:bookmarkStart w:id="17" w:name="Tc_Lp_n0IJfGk-rf0Ivr9lJbA_1_0"/>
      <w:bookmarkStart w:id="18" w:name="_e025f2a0_310b_400f_a0b5_a54a126472dd"/>
      <w:bookmarkEnd w:id="15"/>
      <w:bookmarkEnd w:id="16"/>
      <w:bookmarkEnd w:id="17"/>
      <w:bookmarkEnd w:id="18"/>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5" name="Frame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100" w:right="0" w:hanging="0"/>
              <w:jc w:val="center"/>
              <w:rPr>
                <w:rFonts w:ascii="Times New Roman;Times;serif" w:hAnsi="Times New Roman;Times;serif"/>
                <w:b/>
                <w:sz w:val="20"/>
              </w:rPr>
            </w:pPr>
            <w:r>
              <w:rPr>
                <w:rFonts w:ascii="Times New Roman;Times;serif" w:hAnsi="Times New Roman;Times;serif"/>
                <w:b/>
                <w:sz w:val="20"/>
              </w:rPr>
              <w:t>6641 N. Belt Line Road, Suite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Irving, Texas</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75063</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(844) 935-2832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oafAixezEUOJBEb0rC7CSw_4_1"/>
      <w:bookmarkStart w:id="20" w:name="Tc_KNfbpMmiwU20ktWpNjZd9g_3_1"/>
      <w:bookmarkStart w:id="21" w:name="Tc_xwDw0EAdaU-c7fkuVlJAyA_2_1"/>
      <w:bookmarkStart w:id="22" w:name="Tc_HKyex5qbXEqqIvbYWt3xpQ_1_1"/>
      <w:bookmarkStart w:id="23" w:name="_ab9f6c73_0fbe_4849_9675_db7dd5eb4552"/>
      <w:bookmarkStart w:id="24" w:name="Tc_oafAixezEUOJBEb0rC7CSw_4_1"/>
      <w:bookmarkStart w:id="25" w:name="Tc_KNfbpMmiwU20ktWpNjZd9g_3_1"/>
      <w:bookmarkStart w:id="26" w:name="Tc_xwDw0EAdaU-c7fkuVlJAyA_2_1"/>
      <w:bookmarkStart w:id="27" w:name="Tc_HKyex5qbXEqqIvbYWt3xpQ_1_1"/>
      <w:bookmarkStart w:id="28" w:name="_ab9f6c73_0fbe_4849_9675_db7dd5eb4552"/>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185" cy="175260"/>
                      <wp:effectExtent l="0" t="0" r="0" b="0"/>
                      <wp:wrapNone/>
                      <wp:docPr id="6" name="Frame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829935" cy="175260"/>
                      <wp:effectExtent l="0" t="0" r="0" b="0"/>
                      <wp:wrapNone/>
                      <wp:docPr id="7" name="Frame7"/>
                      <a:graphic xmlns:a="http://schemas.openxmlformats.org/drawingml/2006/main">
                        <a:graphicData uri="http://schemas.microsoft.com/office/word/2010/wordprocessingShape">
                          <wps:wsp>
                            <wps:cNvSpPr txBox="1"/>
                            <wps:spPr>
                              <a:xfrm>
                                <a:off x="0" y="0"/>
                                <a:ext cx="582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FPUeRI0x3U2IKZ3gV8RuMQ_3_4"/>
      <w:bookmarkStart w:id="30" w:name="Tc_nXDiKj6bfE6Sha1geVzJJA_2_4"/>
      <w:bookmarkStart w:id="31" w:name="Tc_FpibtmW1AUGmRzKJni7Gpg_1_4"/>
      <w:bookmarkStart w:id="32" w:name="Tc_NSNWCL3mn0GMxJeOBUyEyg_1_2"/>
      <w:bookmarkStart w:id="33" w:name="Tc_qu5CI0lmLkKlckVuyCg0eg_1_0"/>
      <w:bookmarkStart w:id="34" w:name="_c9a4f9fa_b600_428c_a546_7f36040d9dd5"/>
      <w:bookmarkStart w:id="35" w:name="Tc_FPUeRI0x3U2IKZ3gV8RuMQ_3_4"/>
      <w:bookmarkStart w:id="36" w:name="Tc_nXDiKj6bfE6Sha1geVzJJA_2_4"/>
      <w:bookmarkStart w:id="37" w:name="Tc_FpibtmW1AUGmRzKJni7Gpg_1_4"/>
      <w:bookmarkStart w:id="38" w:name="Tc_NSNWCL3mn0GMxJeOBUyEyg_1_2"/>
      <w:bookmarkStart w:id="39" w:name="Tc_qu5CI0lmLkKlckVuyCg0eg_1_0"/>
      <w:bookmarkStart w:id="40" w:name="_c9a4f9fa_b600_428c_a546_7f36040d9dd5"/>
      <w:bookmarkEnd w:id="35"/>
      <w:bookmarkEnd w:id="36"/>
      <w:bookmarkEnd w:id="37"/>
      <w:bookmarkEnd w:id="38"/>
      <w:bookmarkEnd w:id="39"/>
      <w:bookmarkEnd w:id="40"/>
    </w:p>
    <w:tbl>
      <w:tblPr>
        <w:tblW w:w="10205" w:type="dxa"/>
        <w:jc w:val="left"/>
        <w:tblInd w:w="0" w:type="dxa"/>
        <w:tblLayout w:type="fixed"/>
        <w:tblCellMar>
          <w:top w:w="0" w:type="dxa"/>
          <w:left w:w="0" w:type="dxa"/>
          <w:bottom w:w="0" w:type="dxa"/>
          <w:right w:w="0" w:type="dxa"/>
        </w:tblCellMar>
      </w:tblPr>
      <w:tblGrid>
        <w:gridCol w:w="6671"/>
        <w:gridCol w:w="346"/>
        <w:gridCol w:w="902"/>
        <w:gridCol w:w="346"/>
        <w:gridCol w:w="1940"/>
      </w:tblGrid>
      <w:tr>
        <w:trPr/>
        <w:tc>
          <w:tcPr>
            <w:tcW w:w="6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236085" cy="175260"/>
                      <wp:effectExtent l="0" t="0" r="0" b="0"/>
                      <wp:wrapNone/>
                      <wp:docPr id="8" name="Frame8"/>
                      <a:graphic xmlns:a="http://schemas.openxmlformats.org/drawingml/2006/main">
                        <a:graphicData uri="http://schemas.microsoft.com/office/word/2010/wordprocessingShape">
                          <wps:wsp>
                            <wps:cNvSpPr txBox="1"/>
                            <wps:spPr>
                              <a:xfrm>
                                <a:off x="0" y="0"/>
                                <a:ext cx="423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72770" cy="175260"/>
                      <wp:effectExtent l="0" t="0" r="0" b="0"/>
                      <wp:wrapNone/>
                      <wp:docPr id="9" name="Frame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31900" cy="175260"/>
                      <wp:effectExtent l="0" t="0" r="0" b="0"/>
                      <wp:wrapNone/>
                      <wp:docPr id="10" name="Frame10"/>
                      <a:graphic xmlns:a="http://schemas.openxmlformats.org/drawingml/2006/main">
                        <a:graphicData uri="http://schemas.microsoft.com/office/word/2010/wordprocessingShape">
                          <wps:wsp>
                            <wps:cNvSpPr txBox="1"/>
                            <wps:spPr>
                              <a:xfrm>
                                <a:off x="0" y="0"/>
                                <a:ext cx="1231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left"/>
              <w:rPr/>
            </w:pPr>
            <w:r>
              <w:rPr/>
              <w:t>  ​ ​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r>
            <w:r>
              <w:rPr>
                <w:rFonts w:ascii="Times New Roman;Times;serif" w:hAnsi="Times New Roman;Times;serif"/>
                <w:sz w:val="20"/>
              </w:rPr>
              <w:t xml:space="preserve"> </w:t>
              <w:br/>
            </w:r>
            <w:r>
              <w:rPr>
                <w:rFonts w:ascii="Times New Roman;Times;serif" w:hAnsi="Times New Roman;Times;serif"/>
                <w:b/>
                <w:sz w:val="20"/>
              </w:rPr>
              <w:t>on which registered</w:t>
            </w:r>
          </w:p>
        </w:tc>
      </w:tr>
      <w:tr>
        <w:trPr/>
        <w:tc>
          <w:tcPr>
            <w:tcW w:w="6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vAlign w:val="center"/>
          </w:tcPr>
          <w:p>
            <w:pPr>
              <w:pStyle w:val="TableContents"/>
              <w:bidi w:val="0"/>
              <w:spacing w:before="0" w:after="0"/>
              <w:ind w:left="0" w:right="0" w:hanging="0"/>
              <w:jc w:val="left"/>
              <w:rPr/>
            </w:pPr>
            <w:r>
              <w:rPr/>
              <w:t>​</w:t>
            </w:r>
          </w:p>
        </w:tc>
        <w:tc>
          <w:tcPr>
            <w:tcW w:w="90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XBP</w:t>
            </w:r>
          </w:p>
        </w:tc>
        <w:tc>
          <w:tcPr>
            <w:tcW w:w="346" w:type="dxa"/>
            <w:tcBorders/>
            <w:vAlign w:val="center"/>
          </w:tcPr>
          <w:p>
            <w:pPr>
              <w:pStyle w:val="TableContents"/>
              <w:bidi w:val="0"/>
              <w:spacing w:before="0" w:after="0"/>
              <w:ind w:left="0" w:right="0" w:hanging="0"/>
              <w:jc w:val="left"/>
              <w:rPr/>
            </w:pPr>
            <w:r>
              <w:rPr/>
              <w:t>​</w:t>
            </w:r>
          </w:p>
        </w:tc>
        <w:tc>
          <w:tcPr>
            <w:tcW w:w="194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r>
        <w:trPr/>
        <w:tc>
          <w:tcPr>
            <w:tcW w:w="6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warrants, each ten warrants exercisable for one share of common stock at an exercise price of $115.00</w:t>
            </w:r>
          </w:p>
        </w:tc>
        <w:tc>
          <w:tcPr>
            <w:tcW w:w="346"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XBPEW</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(§240.12b-2of this chapter).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 w:name="_ededa731_bb44_4fe4_85d5_da107dd57832"/>
      <w:bookmarkEnd w:id="41"/>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14, 2026, XBP Global Holdings, Inc. (the “Company”) issued a press release reporting financial results for the quarter ended March 31, 2026. The full text of the press release is furnished as Exhibit 99.1 to this Current Report on Form 8-K.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contained in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42" w:name="_fe111f5d_0b2b_40d4_95b3_31d4d0f12e04"/>
      <w:bookmarkEnd w:id="42"/>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8028" w:type="dxa"/>
        <w:jc w:val="left"/>
        <w:tblInd w:w="0" w:type="dxa"/>
        <w:tblLayout w:type="fixed"/>
        <w:tblCellMar>
          <w:top w:w="0" w:type="dxa"/>
          <w:left w:w="0" w:type="dxa"/>
          <w:bottom w:w="28" w:type="dxa"/>
          <w:right w:w="0" w:type="dxa"/>
        </w:tblCellMar>
      </w:tblPr>
      <w:tblGrid>
        <w:gridCol w:w="1081"/>
        <w:gridCol w:w="346"/>
        <w:gridCol w:w="6601"/>
      </w:tblGrid>
      <w:tr>
        <w:trPr/>
        <w:tc>
          <w:tcPr>
            <w:tcW w:w="10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6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xbp-20260514xex99d1.htm">
              <w:r>
                <w:rPr>
                  <w:rStyle w:val="InternetLink"/>
                  <w:rFonts w:ascii="Times New Roman;Times;serif" w:hAnsi="Times New Roman;Times;serif"/>
                  <w:b w:val="false"/>
                  <w:i w:val="false"/>
                  <w:caps w:val="false"/>
                  <w:smallCaps w:val="false"/>
                  <w:sz w:val="20"/>
                </w:rPr>
                <w:t>Press Release dated May 14, 2026, announcing First Quarter 2026 results</w:t>
              </w:r>
            </w:hyperlink>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07f51cc9_551a_4b53_8b8b_24364f6cbd5e"/>
      <w:bookmarkEnd w:id="43"/>
      <w:r>
        <w:rPr>
          <w:rFonts w:ascii="Times New Roman;Times;serif" w:hAnsi="Times New Roman;Times;serif"/>
          <w:b/>
          <w:sz w:val="20"/>
        </w:rPr>
        <w:t>SIGNATURE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May 14, 2026</w:t>
      </w:r>
    </w:p>
    <w:tbl>
      <w:tblPr>
        <w:tblW w:w="3109" w:type="dxa"/>
        <w:jc w:val="left"/>
        <w:tblInd w:w="0" w:type="dxa"/>
        <w:tblLayout w:type="fixed"/>
        <w:tblCellMar>
          <w:top w:w="0" w:type="dxa"/>
          <w:left w:w="0" w:type="dxa"/>
          <w:bottom w:w="0" w:type="dxa"/>
          <w:right w:w="0" w:type="dxa"/>
        </w:tblCellMar>
      </w:tblPr>
      <w:tblGrid>
        <w:gridCol w:w="124"/>
        <w:gridCol w:w="501"/>
        <w:gridCol w:w="248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175260"/>
                      <wp:effectExtent l="0" t="0" r="0" b="0"/>
                      <wp:wrapNone/>
                      <wp:docPr id="11" name="Frame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18135" cy="175260"/>
                      <wp:effectExtent l="0" t="0" r="0" b="0"/>
                      <wp:wrapNone/>
                      <wp:docPr id="12" name="Frame1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77340" cy="175260"/>
                      <wp:effectExtent l="0" t="0" r="0" b="0"/>
                      <wp:wrapNone/>
                      <wp:docPr id="13" name="Frame13"/>
                      <a:graphic xmlns:a="http://schemas.openxmlformats.org/drawingml/2006/main">
                        <a:graphicData uri="http://schemas.microsoft.com/office/word/2010/wordprocessingShape">
                          <wps:wsp>
                            <wps:cNvSpPr txBox="1"/>
                            <wps:spPr>
                              <a:xfrm>
                                <a:off x="0" y="0"/>
                                <a:ext cx="157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GLOBAL HOLDINGS, INC.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Dejan Avramovic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bookmarkStart w:id="44" w:name="xbp-20260514xex99d1.htm"/>
      <w:bookmarkStart w:id="45" w:name="ksxbp20260514xex99d1"/>
      <w:bookmarkEnd w:id="44"/>
      <w:bookmarkEnd w:id="45"/>
      <w:r>
        <w:rPr/>
        <w:drawing>
          <wp:inline distT="0" distB="0" distL="0" distR="0">
            <wp:extent cx="2475865" cy="31242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2475865" cy="312420"/>
                    </a:xfrm>
                    <a:prstGeom prst="rect">
                      <a:avLst/>
                    </a:prstGeom>
                  </pic:spPr>
                </pic:pic>
              </a:graphicData>
            </a:graphic>
          </wp:inline>
        </w:drawing>
      </w:r>
      <w:r>
        <w:br w:type="page"/>
      </w:r>
    </w:p>
    <w:p>
      <w:pPr>
        <w:pStyle w:val="TextBody"/>
        <w:bidi w:val="0"/>
        <w:spacing w:before="0" w:after="120"/>
        <w:ind w:left="0" w:right="0" w:hanging="0"/>
        <w:jc w:val="left"/>
        <w:rPr/>
      </w:pPr>
      <w:r>
        <w:rPr/>
        <w:t>​</w:t>
      </w:r>
    </w:p>
    <w:p>
      <w:pPr>
        <w:pStyle w:val="TextBody"/>
        <w:bidi w:val="0"/>
        <w:spacing w:before="0" w:after="120"/>
        <w:ind w:left="160" w:right="0" w:hanging="0"/>
        <w:jc w:val="left"/>
        <w:rPr>
          <w:rFonts w:ascii="Helvetica;sans-serif" w:hAnsi="Helvetica;sans-serif"/>
          <w:b/>
          <w:sz w:val="22"/>
        </w:rPr>
      </w:pPr>
      <w:r>
        <w:rPr>
          <w:rFonts w:ascii="Helvetica;sans-serif" w:hAnsi="Helvetica;sans-serif"/>
          <w:b/>
          <w:sz w:val="22"/>
        </w:rPr>
        <w:t>XBP Global Holdings, Inc. Reports First Quarter 2026 Financial Results</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May 14, 2026</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IRVING, TX, May 14, 2026 (GLOBE NEWSWIRE) – XBP Global Holdings, Inc. (“XBP Global” or “the Company”) (NASDAQ: XBP), a multinational technology and services company orchestrating mission-critical systems that enable hyper- automation and digital transformation, today announced its financial results for the quarter ended March 31, 2026.</w:t>
      </w:r>
    </w:p>
    <w:p>
      <w:pPr>
        <w:pStyle w:val="TextBody"/>
        <w:bidi w:val="0"/>
        <w:spacing w:before="0" w:after="120"/>
        <w:ind w:left="160" w:right="0" w:hanging="0"/>
        <w:jc w:val="left"/>
        <w:rPr>
          <w:rFonts w:ascii="Helvetica;sans-serif" w:hAnsi="Helvetica;sans-serif"/>
          <w:b/>
          <w:sz w:val="18"/>
        </w:rPr>
      </w:pPr>
      <w:r>
        <w:rPr>
          <w:rFonts w:ascii="Helvetica;sans-serif" w:hAnsi="Helvetica;sans-serif"/>
          <w:b/>
          <w:sz w:val="18"/>
        </w:rPr>
        <w:t>First Quarter 2026 Highlights</w:t>
      </w:r>
    </w:p>
    <w:tbl>
      <w:tblPr>
        <w:tblW w:w="7338" w:type="dxa"/>
        <w:jc w:val="left"/>
        <w:tblInd w:w="0" w:type="dxa"/>
        <w:tblLayout w:type="fixed"/>
        <w:tblCellMar>
          <w:top w:w="0" w:type="dxa"/>
          <w:left w:w="0" w:type="dxa"/>
          <w:bottom w:w="0" w:type="dxa"/>
          <w:right w:w="0" w:type="dxa"/>
        </w:tblCellMar>
      </w:tblPr>
      <w:tblGrid>
        <w:gridCol w:w="23"/>
        <w:gridCol w:w="11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Revenue totaled $197.1 million, a decline of 14.2%</w:t>
            </w:r>
            <w:r>
              <w:rPr>
                <w:caps w:val="false"/>
                <w:smallCaps w:val="false"/>
              </w:rPr>
              <w:t> </w:t>
            </w:r>
            <w:r>
              <w:rPr>
                <w:rFonts w:ascii="Helvetica;sans-serif" w:hAnsi="Helvetica;sans-serif"/>
                <w:b w:val="false"/>
                <w:i w:val="false"/>
                <w:caps w:val="false"/>
                <w:smallCaps w:val="false"/>
                <w:sz w:val="18"/>
              </w:rPr>
              <w:t>year-over-year on a pro forma basis</w:t>
            </w:r>
            <w:r>
              <w:rPr>
                <w:rFonts w:ascii="Helvetica;sans-serif" w:hAnsi="Helvetica;sans-serif"/>
                <w:b w:val="false"/>
                <w:i w:val="false"/>
                <w:caps w:val="false"/>
                <w:smallCaps w:val="false"/>
                <w:sz w:val="11"/>
              </w:rPr>
              <w:t>1</w:t>
            </w:r>
          </w:p>
        </w:tc>
      </w:tr>
    </w:tbl>
    <w:tbl>
      <w:tblPr>
        <w:tblW w:w="7353" w:type="dxa"/>
        <w:jc w:val="left"/>
        <w:tblInd w:w="0" w:type="dxa"/>
        <w:tblLayout w:type="fixed"/>
        <w:tblCellMar>
          <w:top w:w="0" w:type="dxa"/>
          <w:left w:w="0" w:type="dxa"/>
          <w:bottom w:w="0" w:type="dxa"/>
          <w:right w:w="0" w:type="dxa"/>
        </w:tblCellMar>
      </w:tblPr>
      <w:tblGrid>
        <w:gridCol w:w="23"/>
        <w:gridCol w:w="11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Gross margin was 22.9%, a 70 basis point increase</w:t>
            </w:r>
            <w:r>
              <w:rPr>
                <w:caps w:val="false"/>
                <w:smallCaps w:val="false"/>
              </w:rPr>
              <w:t> </w:t>
            </w:r>
            <w:r>
              <w:rPr>
                <w:rFonts w:ascii="Helvetica;sans-serif" w:hAnsi="Helvetica;sans-serif"/>
                <w:b w:val="false"/>
                <w:i w:val="false"/>
                <w:caps w:val="false"/>
                <w:smallCaps w:val="false"/>
                <w:sz w:val="18"/>
              </w:rPr>
              <w:t>year-over-year on a pro forma basis</w:t>
            </w:r>
            <w:r>
              <w:rPr>
                <w:rFonts w:ascii="Helvetica;sans-serif" w:hAnsi="Helvetica;sans-serif"/>
                <w:b w:val="false"/>
                <w:i w:val="false"/>
                <w:caps w:val="false"/>
                <w:smallCaps w:val="false"/>
                <w:sz w:val="11"/>
              </w:rPr>
              <w:t>1</w:t>
            </w:r>
          </w:p>
        </w:tc>
      </w:tr>
    </w:tbl>
    <w:tbl>
      <w:tblPr>
        <w:tblW w:w="2103" w:type="dxa"/>
        <w:jc w:val="left"/>
        <w:tblInd w:w="0" w:type="dxa"/>
        <w:tblLayout w:type="fixed"/>
        <w:tblCellMar>
          <w:top w:w="0" w:type="dxa"/>
          <w:left w:w="0" w:type="dxa"/>
          <w:bottom w:w="0" w:type="dxa"/>
          <w:right w:w="0" w:type="dxa"/>
        </w:tblCellMar>
      </w:tblPr>
      <w:tblGrid>
        <w:gridCol w:w="23"/>
        <w:gridCol w:w="110"/>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Net loss of $26.8 million</w:t>
            </w:r>
          </w:p>
        </w:tc>
      </w:tr>
    </w:tbl>
    <w:tbl>
      <w:tblPr>
        <w:tblW w:w="7923" w:type="dxa"/>
        <w:jc w:val="left"/>
        <w:tblInd w:w="0" w:type="dxa"/>
        <w:tblLayout w:type="fixed"/>
        <w:tblCellMar>
          <w:top w:w="0" w:type="dxa"/>
          <w:left w:w="0" w:type="dxa"/>
          <w:bottom w:w="0" w:type="dxa"/>
          <w:right w:w="0" w:type="dxa"/>
        </w:tblCellMar>
      </w:tblPr>
      <w:tblGrid>
        <w:gridCol w:w="23"/>
        <w:gridCol w:w="11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Normalized EBITDA</w:t>
            </w:r>
            <w:r>
              <w:rPr>
                <w:rFonts w:ascii="Helvetica;sans-serif" w:hAnsi="Helvetica;sans-serif"/>
                <w:b w:val="false"/>
                <w:i w:val="false"/>
                <w:caps w:val="false"/>
                <w:smallCaps w:val="false"/>
                <w:sz w:val="11"/>
              </w:rPr>
              <w:t xml:space="preserve">2 </w:t>
            </w:r>
            <w:r>
              <w:rPr>
                <w:rFonts w:ascii="Helvetica;sans-serif" w:hAnsi="Helvetica;sans-serif"/>
                <w:b w:val="false"/>
                <w:i w:val="false"/>
                <w:caps w:val="false"/>
                <w:smallCaps w:val="false"/>
                <w:sz w:val="18"/>
              </w:rPr>
              <w:t>of $15.6 million, a decrease of 39.9%</w:t>
            </w:r>
            <w:r>
              <w:rPr>
                <w:caps w:val="false"/>
                <w:smallCaps w:val="false"/>
              </w:rPr>
              <w:t> </w:t>
            </w:r>
            <w:r>
              <w:rPr>
                <w:rFonts w:ascii="Helvetica;sans-serif" w:hAnsi="Helvetica;sans-serif"/>
                <w:b w:val="false"/>
                <w:i w:val="false"/>
                <w:caps w:val="false"/>
                <w:smallCaps w:val="false"/>
                <w:sz w:val="18"/>
              </w:rPr>
              <w:t>year-over-year on a pro forma basis</w:t>
            </w:r>
            <w:r>
              <w:rPr>
                <w:rFonts w:ascii="Helvetica;sans-serif" w:hAnsi="Helvetica;sans-serif"/>
                <w:b w:val="false"/>
                <w:i w:val="false"/>
                <w:caps w:val="false"/>
                <w:smallCaps w:val="false"/>
                <w:sz w:val="11"/>
              </w:rPr>
              <w:t>1</w:t>
            </w:r>
          </w:p>
        </w:tc>
      </w:tr>
    </w:tbl>
    <w:tbl>
      <w:tblPr>
        <w:tblW w:w="9948" w:type="dxa"/>
        <w:jc w:val="left"/>
        <w:tblInd w:w="0" w:type="dxa"/>
        <w:tblLayout w:type="fixed"/>
        <w:tblCellMar>
          <w:top w:w="0" w:type="dxa"/>
          <w:left w:w="0" w:type="dxa"/>
          <w:bottom w:w="0" w:type="dxa"/>
          <w:right w:w="0" w:type="dxa"/>
        </w:tblCellMar>
      </w:tblPr>
      <w:tblGrid>
        <w:gridCol w:w="23"/>
        <w:gridCol w:w="11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Closed $108.1 million of total TCV, a 68.8% increase</w:t>
            </w:r>
            <w:r>
              <w:rPr>
                <w:caps w:val="false"/>
                <w:smallCaps w:val="false"/>
              </w:rPr>
              <w:t> </w:t>
            </w:r>
            <w:r>
              <w:rPr>
                <w:rFonts w:ascii="Helvetica;sans-serif" w:hAnsi="Helvetica;sans-serif"/>
                <w:b w:val="false"/>
                <w:i w:val="false"/>
                <w:caps w:val="false"/>
                <w:smallCaps w:val="false"/>
                <w:sz w:val="18"/>
              </w:rPr>
              <w:t>year-over-year and 45.1% above the trailing four quarter average</w:t>
            </w:r>
            <w:r>
              <w:rPr>
                <w:rFonts w:ascii="Helvetica;sans-serif" w:hAnsi="Helvetica;sans-serif"/>
                <w:b w:val="false"/>
                <w:i w:val="false"/>
                <w:caps w:val="false"/>
                <w:smallCaps w:val="false"/>
                <w:sz w:val="11"/>
              </w:rPr>
              <w:t>1,3</w:t>
            </w:r>
          </w:p>
        </w:tc>
      </w:tr>
    </w:tbl>
    <w:tbl>
      <w:tblPr>
        <w:tblW w:w="9708" w:type="dxa"/>
        <w:jc w:val="left"/>
        <w:tblInd w:w="0" w:type="dxa"/>
        <w:tblLayout w:type="fixed"/>
        <w:tblCellMar>
          <w:top w:w="0" w:type="dxa"/>
          <w:left w:w="0" w:type="dxa"/>
          <w:bottom w:w="0" w:type="dxa"/>
          <w:right w:w="0" w:type="dxa"/>
        </w:tblCellMar>
      </w:tblPr>
      <w:tblGrid>
        <w:gridCol w:w="23"/>
        <w:gridCol w:w="11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Closed $27.3 million of new ACV, a 3.7% decrease</w:t>
            </w:r>
            <w:r>
              <w:rPr>
                <w:caps w:val="false"/>
                <w:smallCaps w:val="false"/>
              </w:rPr>
              <w:t> </w:t>
            </w:r>
            <w:r>
              <w:rPr>
                <w:rFonts w:ascii="Helvetica;sans-serif" w:hAnsi="Helvetica;sans-serif"/>
                <w:b w:val="false"/>
                <w:i w:val="false"/>
                <w:caps w:val="false"/>
                <w:smallCaps w:val="false"/>
                <w:sz w:val="18"/>
              </w:rPr>
              <w:t>year-over-year and 4.4% above the trailing four quarter average</w:t>
            </w:r>
            <w:r>
              <w:rPr>
                <w:rFonts w:ascii="Helvetica;sans-serif" w:hAnsi="Helvetica;sans-serif"/>
                <w:b w:val="false"/>
                <w:i w:val="false"/>
                <w:caps w:val="false"/>
                <w:smallCaps w:val="false"/>
                <w:sz w:val="11"/>
              </w:rPr>
              <w:t>1,3</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The Company expects to achieve $55 to $60 million in annualized operational efficiencies resulting from Company-wide automation efforts, with a significant portion of the underlying actions implemented during the first half of 2026</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The Company expects an approximate 20% reduction in global headcount by the end of 2026, subject to the timing and execution of its automation initiatives compared to</w:t>
            </w:r>
            <w:r>
              <w:rPr>
                <w:caps w:val="false"/>
                <w:smallCaps w:val="false"/>
              </w:rPr>
              <w:t> </w:t>
            </w:r>
            <w:r>
              <w:rPr>
                <w:rFonts w:ascii="Helvetica;sans-serif" w:hAnsi="Helvetica;sans-serif"/>
                <w:b w:val="false"/>
                <w:i w:val="false"/>
                <w:caps w:val="false"/>
                <w:smallCaps w:val="false"/>
                <w:sz w:val="18"/>
              </w:rPr>
              <w:t>year-end 2025, as the Company transitions to a high-productivity, AI-first operating model</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Announced approval by XBP</w:t>
            </w:r>
            <w:r>
              <w:rPr>
                <w:caps w:val="false"/>
                <w:smallCaps w:val="false"/>
              </w:rPr>
              <w:t>’</w:t>
            </w:r>
            <w:r>
              <w:rPr>
                <w:rFonts w:ascii="Helvetica;sans-serif" w:hAnsi="Helvetica;sans-serif"/>
                <w:b w:val="false"/>
                <w:i w:val="false"/>
                <w:caps w:val="false"/>
                <w:smallCaps w:val="false"/>
                <w:sz w:val="18"/>
              </w:rPr>
              <w:t>s Board of Directors to initiate a formal process to explore strategic alternatives to enhance value for all stakeholders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Results reflect an ongoing transition in the Company</w:t>
            </w:r>
            <w:r>
              <w:rPr>
                <w:caps w:val="false"/>
                <w:smallCaps w:val="false"/>
              </w:rPr>
              <w:t>’</w:t>
            </w:r>
            <w:r>
              <w:rPr>
                <w:rFonts w:ascii="Helvetica;sans-serif" w:hAnsi="Helvetica;sans-serif"/>
                <w:b w:val="false"/>
                <w:i w:val="false"/>
                <w:caps w:val="false"/>
                <w:smallCaps w:val="false"/>
                <w:sz w:val="18"/>
              </w:rPr>
              <w:t>s operating model, with revenue and earnings trends impacted by legacy contract dynamics, while bookings and pipeline growth are expected to support future performance</w:t>
            </w:r>
          </w:p>
        </w:tc>
      </w:tr>
    </w:tbl>
    <w:p>
      <w:pPr>
        <w:pStyle w:val="TextBody"/>
        <w:pBdr/>
        <w:bidi w:val="0"/>
        <w:spacing w:before="0" w:after="120"/>
        <w:ind w:left="174" w:right="0" w:hanging="10"/>
        <w:jc w:val="left"/>
        <w:rPr/>
      </w:pPr>
      <w:r>
        <w:rPr/>
        <w:t>“</w:t>
      </w:r>
      <w:r>
        <w:rPr>
          <w:rFonts w:ascii="Helvetica;sans-serif" w:hAnsi="Helvetica;sans-serif"/>
          <w:sz w:val="18"/>
        </w:rPr>
        <w:t>Disciplined management and increased automation have resulted in our third consecutive quarter of margin expansion, and we believe these efforts will support a more substantial uplift in the coming quarters,” said Andrej Jonovic, CEO of XBP Global. “Our sales pipeline is gaining momentum, we are fundamentally altering our operating model through ambitious use of automation, and we expect this to translate to improved margin profile and materially higher revenue per employee in the second half of the year.”</w:t>
      </w:r>
    </w:p>
    <w:p>
      <w:pPr>
        <w:pStyle w:val="TextBody"/>
        <w:pBdr/>
        <w:bidi w:val="0"/>
        <w:spacing w:before="0" w:after="120"/>
        <w:ind w:left="174" w:right="0" w:hanging="10"/>
        <w:jc w:val="left"/>
        <w:rPr/>
      </w:pPr>
      <w:r>
        <w:rPr/>
        <w:t>“</w:t>
      </w:r>
      <w:r>
        <w:rPr>
          <w:rFonts w:ascii="Helvetica;sans-serif" w:hAnsi="Helvetica;sans-serif"/>
          <w:sz w:val="18"/>
        </w:rPr>
        <w:t>Separately, we announced today that our Board has approved an exploration of strategic alternatives. We believe this is a necessary step to evaluate opportunities to enhance value for XBP stakeholders, position XBP Global for long-term growth, and create financial flexibility to invest in our core growth engines and AI-first initiatives.”</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There can be no assurance that the exploration of strategic alternatives will result in any transaction or other strategic outcome, and the Company has not set a timetable for the completion of this process.</w:t>
      </w:r>
    </w:p>
    <w:p>
      <w:pPr>
        <w:pStyle w:val="TextBody"/>
        <w:bidi w:val="0"/>
        <w:spacing w:before="0" w:after="120"/>
        <w:ind w:left="160" w:right="0" w:hanging="0"/>
        <w:jc w:val="left"/>
        <w:rPr>
          <w:rFonts w:ascii="Helvetica;sans-serif" w:hAnsi="Helvetica;sans-serif"/>
          <w:b/>
          <w:sz w:val="18"/>
        </w:rPr>
      </w:pPr>
      <w:r>
        <w:rPr>
          <w:rFonts w:ascii="Helvetica;sans-serif" w:hAnsi="Helvetica;sans-serif"/>
          <w:b/>
          <w:sz w:val="18"/>
        </w:rPr>
        <w:t>First Quarter 2026 Segment Results</w:t>
      </w:r>
      <w:r>
        <w:rPr>
          <w:rFonts w:ascii="Helvetica;sans-serif" w:hAnsi="Helvetica;sans-serif"/>
          <w:b/>
          <w:sz w:val="14"/>
        </w:rPr>
        <w:t>4</w:t>
      </w:r>
      <w:r>
        <w:rPr>
          <w:rFonts w:ascii="Helvetica;sans-serif" w:hAnsi="Helvetica;sans-serif"/>
          <w:b/>
          <w:sz w:val="18"/>
        </w:rPr>
        <w:t>:</w:t>
      </w:r>
    </w:p>
    <w:tbl>
      <w:tblPr>
        <w:tblW w:w="8333" w:type="dxa"/>
        <w:jc w:val="left"/>
        <w:tblInd w:w="0" w:type="dxa"/>
        <w:tblLayout w:type="fixed"/>
        <w:tblCellMar>
          <w:top w:w="0" w:type="dxa"/>
          <w:left w:w="0" w:type="dxa"/>
          <w:bottom w:w="0" w:type="dxa"/>
          <w:right w:w="0" w:type="dxa"/>
        </w:tblCellMar>
      </w:tblPr>
      <w:tblGrid>
        <w:gridCol w:w="2521"/>
        <w:gridCol w:w="886"/>
        <w:gridCol w:w="886"/>
        <w:gridCol w:w="871"/>
        <w:gridCol w:w="721"/>
        <w:gridCol w:w="811"/>
        <w:gridCol w:w="871"/>
        <w:gridCol w:w="766"/>
      </w:tblGrid>
      <w:tr>
        <w:trPr/>
        <w:tc>
          <w:tcPr>
            <w:tcW w:w="2521" w:type="dxa"/>
            <w:vMerge w:val="restart"/>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772" w:type="dxa"/>
            <w:gridSpan w:val="2"/>
            <w:tcBorders>
              <w:top w:val="single" w:sz="8" w:space="0" w:color="000000"/>
              <w:lef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b/>
                <w:sz w:val="18"/>
              </w:rPr>
              <w:t>Revenue (in $</w:t>
            </w:r>
            <w:r>
              <w:rPr>
                <w:rFonts w:ascii="Helvetica;sans-serif" w:hAnsi="Helvetica;sans-serif"/>
                <w:sz w:val="18"/>
              </w:rPr>
              <w:t>’</w:t>
            </w:r>
            <w:r>
              <w:rPr>
                <w:rFonts w:ascii="Helvetica;sans-serif" w:hAnsi="Helvetica;sans-serif"/>
                <w:b/>
                <w:sz w:val="18"/>
              </w:rPr>
              <w:t>000)</w:t>
            </w:r>
          </w:p>
        </w:tc>
        <w:tc>
          <w:tcPr>
            <w:tcW w:w="871" w:type="dxa"/>
            <w:tcBorders>
              <w:top w:val="single" w:sz="8" w:space="0" w:color="000000"/>
              <w:right w:val="single" w:sz="8" w:space="0" w:color="000000"/>
            </w:tcBorders>
            <w:tcMar>
              <w:top w:w="28" w:type="dxa"/>
              <w:right w:w="28" w:type="dxa"/>
            </w:tcMar>
            <w:vAlign w:val="center"/>
          </w:tcPr>
          <w:p>
            <w:pPr>
              <w:pStyle w:val="TableContents"/>
              <w:bidi w:val="0"/>
              <w:spacing w:before="0" w:after="0"/>
              <w:ind w:left="0" w:right="0" w:hanging="0"/>
              <w:jc w:val="left"/>
              <w:rPr/>
            </w:pPr>
            <w:r>
              <w:rPr/>
              <w:t>​</w:t>
            </w:r>
          </w:p>
        </w:tc>
        <w:tc>
          <w:tcPr>
            <w:tcW w:w="1532" w:type="dxa"/>
            <w:gridSpan w:val="2"/>
            <w:tcBorders>
              <w:top w:val="single" w:sz="8" w:space="0" w:color="000000"/>
              <w:lef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Gross Margin</w:t>
            </w:r>
          </w:p>
        </w:tc>
        <w:tc>
          <w:tcPr>
            <w:tcW w:w="871" w:type="dxa"/>
            <w:tcBorders>
              <w:top w:val="single" w:sz="8" w:space="0" w:color="000000"/>
              <w:right w:val="single" w:sz="8" w:space="0" w:color="000000"/>
            </w:tcBorders>
            <w:tcMar>
              <w:top w:w="28" w:type="dxa"/>
              <w:right w:w="28" w:type="dxa"/>
            </w:tcMar>
            <w:vAlign w:val="center"/>
          </w:tcPr>
          <w:p>
            <w:pPr>
              <w:pStyle w:val="TableContents"/>
              <w:bidi w:val="0"/>
              <w:spacing w:before="0" w:after="0"/>
              <w:ind w:left="0" w:right="0" w:hanging="0"/>
              <w:jc w:val="left"/>
              <w:rPr/>
            </w:pPr>
            <w:r>
              <w:rPr/>
              <w:t>​</w:t>
            </w:r>
          </w:p>
        </w:tc>
        <w:tc>
          <w:tcPr>
            <w:tcW w:w="76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vMerge w:val="continue"/>
            <w:tcBorders/>
            <w:vAlign w:val="center"/>
          </w:tcPr>
          <w:p>
            <w:pPr>
              <w:pStyle w:val="Normal"/>
              <w:bidi w:val="0"/>
              <w:jc w:val="left"/>
              <w:rPr/>
            </w:pPr>
            <w:r>
              <w:rPr/>
            </w:r>
          </w:p>
        </w:tc>
        <w:tc>
          <w:tcPr>
            <w:tcW w:w="88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886"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Q1 2026</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0"/>
              </w:rPr>
            </w:pPr>
            <w:r>
              <w:rPr>
                <w:rFonts w:ascii="Helvetica;sans-serif" w:hAnsi="Helvetica;sans-serif"/>
                <w:b/>
                <w:sz w:val="18"/>
              </w:rPr>
              <w:t>Q1 2025</w:t>
            </w:r>
            <w:r>
              <w:rPr>
                <w:rFonts w:ascii="Helvetica;sans-serif" w:hAnsi="Helvetica;sans-serif"/>
                <w:b/>
                <w:sz w:val="11"/>
              </w:rPr>
              <w:t>4</w:t>
            </w:r>
          </w:p>
        </w:tc>
        <w:tc>
          <w:tcPr>
            <w:tcW w:w="721"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Y/Y (%)</w:t>
            </w:r>
          </w:p>
        </w:tc>
        <w:tc>
          <w:tcPr>
            <w:tcW w:w="811"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Q1 2026</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0"/>
              </w:rPr>
            </w:pPr>
            <w:r>
              <w:rPr>
                <w:rFonts w:ascii="Helvetica;sans-serif" w:hAnsi="Helvetica;sans-serif"/>
                <w:b/>
                <w:sz w:val="18"/>
              </w:rPr>
              <w:t>Q1 2025</w:t>
            </w:r>
            <w:r>
              <w:rPr>
                <w:rFonts w:ascii="Helvetica;sans-serif" w:hAnsi="Helvetica;sans-serif"/>
                <w:b/>
                <w:sz w:val="11"/>
              </w:rPr>
              <w:t>4</w:t>
            </w:r>
          </w:p>
        </w:tc>
        <w:tc>
          <w:tcPr>
            <w:tcW w:w="76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Y/Y (%)</w:t>
            </w:r>
          </w:p>
        </w:tc>
      </w:tr>
      <w:tr>
        <w:trPr/>
        <w:tc>
          <w:tcPr>
            <w:tcW w:w="252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Applied Workflow Automation</w:t>
            </w:r>
          </w:p>
        </w:tc>
        <w:tc>
          <w:tcPr>
            <w:tcW w:w="88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$178,426</w:t>
            </w:r>
          </w:p>
        </w:tc>
        <w:tc>
          <w:tcPr>
            <w:tcW w:w="88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$204,253</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-12.6%</w:t>
            </w:r>
          </w:p>
        </w:tc>
        <w:tc>
          <w:tcPr>
            <w:tcW w:w="721"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19.9%</w:t>
            </w:r>
          </w:p>
        </w:tc>
        <w:tc>
          <w:tcPr>
            <w:tcW w:w="81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17.3%</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+260 bps</w:t>
            </w:r>
          </w:p>
        </w:tc>
        <w:tc>
          <w:tcPr>
            <w:tcW w:w="76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Technology</w:t>
            </w:r>
          </w:p>
        </w:tc>
        <w:tc>
          <w:tcPr>
            <w:tcW w:w="88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18,706</w:t>
            </w:r>
          </w:p>
        </w:tc>
        <w:tc>
          <w:tcPr>
            <w:tcW w:w="88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25,431</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-26.4%</w:t>
            </w:r>
          </w:p>
        </w:tc>
        <w:tc>
          <w:tcPr>
            <w:tcW w:w="721"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52.4%</w:t>
            </w:r>
          </w:p>
        </w:tc>
        <w:tc>
          <w:tcPr>
            <w:tcW w:w="81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61.7%</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-930 bps</w:t>
            </w:r>
          </w:p>
        </w:tc>
        <w:tc>
          <w:tcPr>
            <w:tcW w:w="76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Total</w:t>
            </w:r>
          </w:p>
        </w:tc>
        <w:tc>
          <w:tcPr>
            <w:tcW w:w="88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$197,132</w:t>
            </w:r>
          </w:p>
        </w:tc>
        <w:tc>
          <w:tcPr>
            <w:tcW w:w="88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$229,686</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-14.2%</w:t>
            </w:r>
          </w:p>
        </w:tc>
        <w:tc>
          <w:tcPr>
            <w:tcW w:w="721"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22.9%</w:t>
            </w:r>
          </w:p>
        </w:tc>
        <w:tc>
          <w:tcPr>
            <w:tcW w:w="81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22.2%</w:t>
            </w:r>
          </w:p>
        </w:tc>
        <w:tc>
          <w:tcPr>
            <w:tcW w:w="87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198" w:right="0" w:hanging="0"/>
              <w:jc w:val="left"/>
              <w:rPr>
                <w:rFonts w:ascii="Helvetica;sans-serif" w:hAnsi="Helvetica;sans-serif"/>
                <w:b/>
                <w:sz w:val="18"/>
              </w:rPr>
            </w:pPr>
            <w:r>
              <w:rPr>
                <w:rFonts w:ascii="Helvetica;sans-serif" w:hAnsi="Helvetica;sans-serif"/>
                <w:b/>
                <w:sz w:val="18"/>
              </w:rPr>
              <w:t>+70 bps</w:t>
            </w:r>
          </w:p>
        </w:tc>
        <w:tc>
          <w:tcPr>
            <w:tcW w:w="76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435" w:right="0" w:hanging="0"/>
        <w:jc w:val="left"/>
        <w:rPr>
          <w:rFonts w:ascii="Helvetica;sans-serif" w:hAnsi="Helvetica;sans-serif"/>
          <w:b/>
          <w:sz w:val="18"/>
        </w:rPr>
      </w:pPr>
      <w:r>
        <w:rPr>
          <w:rFonts w:ascii="Helvetica;sans-serif" w:hAnsi="Helvetica;sans-serif"/>
          <w:b/>
          <w:sz w:val="18"/>
        </w:rPr>
        <w:t>Below are the notes referenced above:</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(1)</w:t>
            </w:r>
          </w:p>
        </w:tc>
        <w:tc>
          <w:tcPr>
            <w:tcW w:w="9992" w:type="dxa"/>
            <w:tcBorders/>
            <w:vAlign w:val="center"/>
          </w:tcPr>
          <w:p>
            <w:pPr>
              <w:pStyle w:val="TableContents"/>
              <w:bidi w:val="0"/>
              <w:spacing w:before="0" w:after="283"/>
              <w:jc w:val="left"/>
              <w:rPr/>
            </w:pPr>
            <w:r>
              <w:rPr>
                <w:rFonts w:ascii="Helvetica;sans-serif" w:hAnsi="Helvetica;sans-serif"/>
                <w:b w:val="false"/>
                <w:i/>
                <w:sz w:val="18"/>
              </w:rPr>
              <w:t xml:space="preserve">Pro forma results reflect the combined company as if the Exela Technologies BPA, LLC (together with its subsidiaries and certain affiliates </w:t>
            </w:r>
            <w:r>
              <w:rPr/>
              <w:t>“</w:t>
            </w:r>
            <w:r>
              <w:rPr>
                <w:rFonts w:ascii="Helvetica;sans-serif" w:hAnsi="Helvetica;sans-serif"/>
                <w:b w:val="false"/>
                <w:i/>
                <w:sz w:val="18"/>
              </w:rPr>
              <w:t>BPA</w:t>
            </w:r>
            <w:r>
              <w:rPr/>
              <w:t>”</w:t>
            </w:r>
            <w:r>
              <w:rPr>
                <w:rFonts w:ascii="Helvetica;sans-serif" w:hAnsi="Helvetica;sans-serif"/>
                <w:b w:val="false"/>
                <w:i/>
                <w:sz w:val="18"/>
              </w:rPr>
              <w:t>) acquisition had occurred on January</w:t>
            </w:r>
            <w:r>
              <w:rPr/>
              <w:t> </w:t>
            </w:r>
            <w:r>
              <w:rPr>
                <w:rFonts w:ascii="Helvetica;sans-serif" w:hAnsi="Helvetica;sans-serif"/>
                <w:b w:val="false"/>
                <w:i/>
                <w:sz w:val="18"/>
              </w:rPr>
              <w:t>1, 2024, and include adjustments to provide period-to-period comparability where the reported results exclude XBP Europe until July</w:t>
            </w:r>
            <w:r>
              <w:rPr/>
              <w:t> </w:t>
            </w:r>
            <w:r>
              <w:rPr>
                <w:rFonts w:ascii="Helvetica;sans-serif" w:hAnsi="Helvetica;sans-serif"/>
                <w:b w:val="false"/>
                <w:i/>
                <w:sz w:val="18"/>
              </w:rPr>
              <w:t>31, 2025.</w:t>
            </w:r>
          </w:p>
        </w:tc>
      </w:tr>
    </w:tbl>
    <w:tbl>
      <w:tblPr>
        <w:tblW w:w="9393" w:type="dxa"/>
        <w:jc w:val="left"/>
        <w:tblInd w:w="0" w:type="dxa"/>
        <w:tblLayout w:type="fixed"/>
        <w:tblCellMar>
          <w:top w:w="0" w:type="dxa"/>
          <w:left w:w="0" w:type="dxa"/>
          <w:bottom w:w="0" w:type="dxa"/>
          <w:right w:w="0" w:type="dxa"/>
        </w:tblCellMar>
      </w:tblPr>
      <w:tblGrid>
        <w:gridCol w:w="23"/>
        <w:gridCol w:w="23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(2)</w:t>
            </w:r>
          </w:p>
        </w:tc>
        <w:tc>
          <w:tcPr>
            <w:tcW w:w="9140" w:type="dxa"/>
            <w:tcBorders/>
            <w:vAlign w:val="center"/>
          </w:tcPr>
          <w:p>
            <w:pPr>
              <w:pStyle w:val="TableContents"/>
              <w:bidi w:val="0"/>
              <w:spacing w:before="0" w:after="283"/>
              <w:jc w:val="left"/>
              <w:rPr>
                <w:rFonts w:ascii="Helvetica;sans-serif" w:hAnsi="Helvetica;sans-serif"/>
                <w:b w:val="false"/>
                <w:i/>
                <w:sz w:val="18"/>
              </w:rPr>
            </w:pPr>
            <w:r>
              <w:rPr>
                <w:rFonts w:ascii="Helvetica;sans-serif" w:hAnsi="Helvetica;sans-serif"/>
                <w:b w:val="false"/>
                <w:i/>
                <w:sz w:val="18"/>
              </w:rPr>
              <w:t>Normalized EBITDA is a non-GAAP measure. A reconciliation of non-GAAP measures is attached to this release.</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(3)</w:t>
            </w:r>
          </w:p>
        </w:tc>
        <w:tc>
          <w:tcPr>
            <w:tcW w:w="10001" w:type="dxa"/>
            <w:tcBorders/>
            <w:vAlign w:val="center"/>
          </w:tcPr>
          <w:p>
            <w:pPr>
              <w:pStyle w:val="TableContents"/>
              <w:bidi w:val="0"/>
              <w:spacing w:before="0" w:after="283"/>
              <w:jc w:val="left"/>
              <w:rPr/>
            </w:pPr>
            <w:r>
              <w:rPr>
                <w:rFonts w:ascii="Helvetica;sans-serif" w:hAnsi="Helvetica;sans-serif"/>
                <w:b w:val="false"/>
                <w:i/>
                <w:sz w:val="18"/>
              </w:rPr>
              <w:t>Total Contract Value (</w:t>
            </w:r>
            <w:r>
              <w:rPr/>
              <w:t>“</w:t>
            </w:r>
            <w:r>
              <w:rPr>
                <w:rFonts w:ascii="Helvetica;sans-serif" w:hAnsi="Helvetica;sans-serif"/>
                <w:b w:val="false"/>
                <w:i/>
                <w:sz w:val="18"/>
              </w:rPr>
              <w:t>TCV</w:t>
            </w:r>
            <w:r>
              <w:rPr/>
              <w:t>”</w:t>
            </w:r>
            <w:r>
              <w:rPr>
                <w:rFonts w:ascii="Helvetica;sans-serif" w:hAnsi="Helvetica;sans-serif"/>
                <w:b w:val="false"/>
                <w:i/>
                <w:sz w:val="18"/>
              </w:rPr>
              <w:t>) represents the initial estimated revenue related to contracts signed in the period without regard for early termination or revenue recognition rules. Changes to contracts and scope are treated as TCV only to the extent of the incremental new value. New TCV represents TCV attributable to expansion and new scope for existing clients, as well as TCV attributable to new clients. Annual contract value (</w:t>
            </w:r>
            <w:r>
              <w:rPr/>
              <w:t>“</w:t>
            </w:r>
            <w:r>
              <w:rPr>
                <w:rFonts w:ascii="Helvetica;sans-serif" w:hAnsi="Helvetica;sans-serif"/>
                <w:b w:val="false"/>
                <w:i/>
                <w:sz w:val="18"/>
              </w:rPr>
              <w:t>ACV</w:t>
            </w:r>
            <w:r>
              <w:rPr/>
              <w:t>”</w:t>
            </w:r>
            <w:r>
              <w:rPr>
                <w:rFonts w:ascii="Helvetica;sans-serif" w:hAnsi="Helvetica;sans-serif"/>
                <w:b w:val="false"/>
                <w:i/>
                <w:sz w:val="18"/>
              </w:rPr>
              <w:t>) represents the annualized value of the TCV, calculated by dividing the TCV of each individual contract by its respective duration in</w:t>
            </w:r>
            <w:r>
              <w:rPr/>
              <w:t> </w:t>
            </w:r>
            <w:r>
              <w:rPr>
                <w:rFonts w:ascii="Helvetica;sans-serif" w:hAnsi="Helvetica;sans-serif"/>
                <w:b w:val="false"/>
                <w:i/>
                <w:sz w:val="18"/>
              </w:rPr>
              <w:t>years.</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(4)</w:t>
            </w:r>
          </w:p>
        </w:tc>
        <w:tc>
          <w:tcPr>
            <w:tcW w:w="9957" w:type="dxa"/>
            <w:tcBorders/>
            <w:vAlign w:val="center"/>
          </w:tcPr>
          <w:p>
            <w:pPr>
              <w:pStyle w:val="TableContents"/>
              <w:bidi w:val="0"/>
              <w:spacing w:before="0" w:after="283"/>
              <w:jc w:val="left"/>
              <w:rPr/>
            </w:pPr>
            <w:r>
              <w:rPr>
                <w:rFonts w:ascii="Helvetica;sans-serif" w:hAnsi="Helvetica;sans-serif"/>
                <w:b w:val="false"/>
                <w:i/>
                <w:sz w:val="18"/>
              </w:rPr>
              <w:t>Presented on a pro forma basis for the combined company, as if the acquisition of BPA had been consummated on January</w:t>
            </w:r>
            <w:r>
              <w:rPr/>
              <w:t> </w:t>
            </w:r>
            <w:r>
              <w:rPr>
                <w:rFonts w:ascii="Helvetica;sans-serif" w:hAnsi="Helvetica;sans-serif"/>
                <w:b w:val="false"/>
                <w:i/>
                <w:sz w:val="18"/>
              </w:rPr>
              <w:t>1, 2024.</w:t>
            </w:r>
          </w:p>
        </w:tc>
      </w:tr>
    </w:tbl>
    <w:p>
      <w:pPr>
        <w:pStyle w:val="TextBody"/>
        <w:bidi w:val="0"/>
        <w:spacing w:before="0" w:after="120"/>
        <w:ind w:left="174" w:right="0" w:hanging="0"/>
        <w:jc w:val="left"/>
        <w:rPr>
          <w:rFonts w:ascii="Helvetica;sans-serif" w:hAnsi="Helvetica;sans-serif"/>
          <w:b/>
          <w:sz w:val="18"/>
        </w:rPr>
      </w:pPr>
      <w:r>
        <w:rPr>
          <w:rFonts w:ascii="Helvetica;sans-serif" w:hAnsi="Helvetica;sans-serif"/>
          <w:b/>
          <w:sz w:val="18"/>
        </w:rPr>
        <w:t>Earnings Call and Supplemental Investor Presentation</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The Company will host a live conference call at 5:00 pm Eastern Time on May 14, 2026, accompanied by a live webcast. Hosting the call will be Andrej Jonovic, Chief Executive Officer, Dejan Avramovic, Chief Financial Officer, and Mike Shufeldt, Chief Revenue Officer.</w:t>
      </w:r>
    </w:p>
    <w:p>
      <w:pPr>
        <w:pStyle w:val="TextBody"/>
        <w:bidi w:val="0"/>
        <w:spacing w:before="0" w:after="120"/>
        <w:ind w:left="160" w:right="0" w:hanging="0"/>
        <w:jc w:val="left"/>
        <w:rPr>
          <w:rFonts w:ascii="Helvetica;sans-serif" w:hAnsi="Helvetica;sans-serif"/>
          <w:sz w:val="18"/>
        </w:rPr>
      </w:pPr>
      <w:r>
        <w:rPr>
          <w:rFonts w:ascii="Helvetica;sans-serif" w:hAnsi="Helvetica;sans-serif"/>
          <w:b/>
          <w:sz w:val="18"/>
        </w:rPr>
        <w:t xml:space="preserve">Participant Call-In Registration: </w:t>
      </w:r>
      <w:r>
        <w:rPr>
          <w:rFonts w:ascii="Helvetica;sans-serif" w:hAnsi="Helvetica;sans-serif"/>
          <w:sz w:val="18"/>
        </w:rPr>
        <w:t xml:space="preserve">Participants who wish to join the conference by telephone must register using the following dial-in registration link to receive the dial-in number and a personalized PIN code that will be required to access the call: </w:t>
      </w:r>
      <w:r>
        <w:rPr>
          <w:rFonts w:ascii="Helvetica;sans-serif" w:hAnsi="Helvetica;sans-serif"/>
          <w:color w:val="1154CC"/>
          <w:sz w:val="18"/>
          <w:u w:val="single"/>
        </w:rPr>
        <w:t>https://register-conf.media-server.com/register/BIf2fe6a6b62164945946dae9bd02995a5</w:t>
      </w:r>
      <w:r>
        <w:rPr>
          <w:rFonts w:ascii="Helvetica;sans-serif" w:hAnsi="Helvetica;sans-serif"/>
          <w:sz w:val="18"/>
        </w:rPr>
        <w:t>.</w:t>
      </w:r>
    </w:p>
    <w:p>
      <w:pPr>
        <w:pStyle w:val="TextBody"/>
        <w:bidi w:val="0"/>
        <w:spacing w:before="0" w:after="120"/>
        <w:ind w:left="160" w:right="0" w:hanging="0"/>
        <w:jc w:val="left"/>
        <w:rPr>
          <w:rFonts w:ascii="Helvetica;sans-serif" w:hAnsi="Helvetica;sans-serif"/>
          <w:sz w:val="18"/>
        </w:rPr>
      </w:pPr>
      <w:r>
        <w:rPr>
          <w:rFonts w:ascii="Helvetica;sans-serif" w:hAnsi="Helvetica;sans-serif"/>
          <w:b/>
          <w:sz w:val="18"/>
        </w:rPr>
        <w:t xml:space="preserve">Participant Live Webcast Registration: </w:t>
      </w:r>
      <w:r>
        <w:rPr>
          <w:rFonts w:ascii="Helvetica;sans-serif" w:hAnsi="Helvetica;sans-serif"/>
          <w:sz w:val="18"/>
        </w:rPr>
        <w:t xml:space="preserve">To access the live webcast, please visit </w:t>
      </w:r>
      <w:r>
        <w:rPr>
          <w:rFonts w:ascii="Helvetica;sans-serif" w:hAnsi="Helvetica;sans-serif"/>
          <w:color w:val="1154CC"/>
          <w:sz w:val="18"/>
          <w:u w:val="single"/>
        </w:rPr>
        <w:t>https://edge.media- server.com/mmc/p/svpo92yg</w:t>
      </w:r>
      <w:r>
        <w:rPr>
          <w:rFonts w:ascii="Helvetica;sans-serif" w:hAnsi="Helvetica;sans-serif"/>
          <w:sz w:val="18"/>
        </w:rPr>
        <w:t xml:space="preserve"> or XBP Global’s Investor Relations website at </w:t>
      </w:r>
      <w:r>
        <w:rPr>
          <w:rFonts w:ascii="Helvetica;sans-serif" w:hAnsi="Helvetica;sans-serif"/>
          <w:color w:val="1154CC"/>
          <w:sz w:val="18"/>
          <w:u w:val="single"/>
        </w:rPr>
        <w:t>https://investors.xbpglobal.com/</w:t>
      </w:r>
      <w:r>
        <w:rPr>
          <w:rFonts w:ascii="Helvetica;sans-serif" w:hAnsi="Helvetica;sans-serif"/>
          <w:sz w:val="18"/>
        </w:rPr>
        <w:t>.</w:t>
      </w:r>
    </w:p>
    <w:p>
      <w:pPr>
        <w:pStyle w:val="TextBody"/>
        <w:bidi w:val="0"/>
        <w:spacing w:before="0" w:after="120"/>
        <w:ind w:left="174" w:right="0" w:hanging="0"/>
        <w:jc w:val="left"/>
        <w:rPr>
          <w:rFonts w:ascii="Helvetica;sans-serif" w:hAnsi="Helvetica;sans-serif"/>
          <w:sz w:val="18"/>
        </w:rPr>
      </w:pPr>
      <w:r>
        <w:rPr>
          <w:rFonts w:ascii="Helvetica;sans-serif" w:hAnsi="Helvetica;sans-serif"/>
          <w:b/>
          <w:sz w:val="18"/>
        </w:rPr>
        <w:t xml:space="preserve">Rebroadcast: </w:t>
      </w:r>
      <w:r>
        <w:rPr>
          <w:rFonts w:ascii="Helvetica;sans-serif" w:hAnsi="Helvetica;sans-serif"/>
          <w:sz w:val="18"/>
        </w:rPr>
        <w:t>Following the live webcast, a replay will be available on XBP Global’s Investor Relations website.</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 xml:space="preserve">An investor presentation relating to our first quarter 2026 performance will be available at </w:t>
      </w:r>
      <w:r>
        <w:rPr>
          <w:rFonts w:ascii="Helvetica;sans-serif" w:hAnsi="Helvetica;sans-serif"/>
          <w:color w:val="0462C1"/>
          <w:sz w:val="18"/>
          <w:u w:val="single"/>
        </w:rPr>
        <w:t>https://investors.xbpglobal.com</w:t>
      </w:r>
      <w:r>
        <w:rPr>
          <w:rFonts w:ascii="Helvetica;sans-serif" w:hAnsi="Helvetica;sans-serif"/>
          <w:sz w:val="18"/>
        </w:rPr>
        <w:t>.</w:t>
      </w:r>
    </w:p>
    <w:p>
      <w:pPr>
        <w:pStyle w:val="TextBody"/>
        <w:bidi w:val="0"/>
        <w:spacing w:before="0" w:after="120"/>
        <w:ind w:left="160" w:right="0" w:hanging="0"/>
        <w:jc w:val="left"/>
        <w:rPr>
          <w:rFonts w:ascii="Helvetica;sans-serif" w:hAnsi="Helvetica;sans-serif"/>
          <w:b/>
          <w:sz w:val="18"/>
        </w:rPr>
      </w:pPr>
      <w:r>
        <w:rPr>
          <w:rFonts w:ascii="Helvetica;sans-serif" w:hAnsi="Helvetica;sans-serif"/>
          <w:b/>
          <w:sz w:val="18"/>
        </w:rPr>
        <w:t>About Pro Forma Financial Information</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This press release includes certain pro forma financial information, which is presented for informational purposes only and is not prepared in accordance with U.S. generally accepted accounting principles (“GAAP”). Pro forma results are presented on an unaudited basis as if the acquisition of BPA had been consummated on January 1, 2024, regardless of the actual closing date.</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For financial reporting purposes, BPA is treated as the accounting acquirer, and results exclude XBP Europe until July 31, 2025. As a result, reported results for periods prior to July 31, 2025 are not comparable to previous annual earnings results presented by the Company.</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Pro forma financial information is intended to provide investors with a clearer understanding of the underlying performance and trends of the combined business by illustrating the impact of the acquisition on historical results. These results are designed to facilitate period-to-period comparisons and enhance transparency into ongoing operations.</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Pro forma information is based on certain assumptions and adjustments, including the elimination of intercompany transactions, acquisition-related costs, and the alignment of accounting policies, as described in the accompanying tables and footnotes. This information is unaudited and does not purport to represent what actual results would have been had the acquisition occurred at the dates indicated, nor does it project future results.</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Pro forma financial information should be read in conjunction with historical financial statements, related notes, and the pro forma adjustments and explanatory notes included in this release.</w:t>
      </w:r>
    </w:p>
    <w:p>
      <w:pPr>
        <w:pStyle w:val="TextBody"/>
        <w:bidi w:val="0"/>
        <w:spacing w:before="0" w:after="120"/>
        <w:ind w:left="174" w:right="0" w:hanging="0"/>
        <w:jc w:val="left"/>
        <w:rPr>
          <w:rFonts w:ascii="Helvetica;sans-serif" w:hAnsi="Helvetica;sans-serif"/>
          <w:b/>
          <w:sz w:val="18"/>
        </w:rPr>
      </w:pPr>
      <w:r>
        <w:rPr>
          <w:rFonts w:ascii="Helvetica;sans-serif" w:hAnsi="Helvetica;sans-serif"/>
          <w:b/>
          <w:sz w:val="18"/>
        </w:rPr>
        <w:t>About Non-GAAP Financial Measures</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This press release also includes certain non-GAAP financial measures, including EBITDA, Normalized EBITDA, and Pro Forma Normalized EBITDA, which are not prepared in accordance with GAAP.</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Management believes these non-GAAP measures are useful supplemental measures; however, investors are</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encouraged to review the Company’s GAAP results and not rely on any single financial measure.</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These measures provide investors with additional insight into financial performance, results of operations, and liquidity, and help facilitate comparisons of underlying business trends across periods. Management uses these measures to evaluate performance consistently by excluding the effects of capital structure (such as varying debt levels, interest expense, and transaction costs from acquisitions).</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We define EBITDA as net income (loss), plus taxes, interest expense, and depreciation and amortization. We define Normalized EBITDA as EBITDA plus non-recurring transaction costs, non-cash equity compensation, restructuring and related expenses, loss/(gain) on sale of assets, impairment of goodwill and other non-recurring items such as reorganization items. We define Pro Forma Normalized EBITDA as Normalized EBITDA plus management’s estimates of the impact of the accounting acquisition of XBP Europe and reorganization of BPA, had such transactions occurred at the beginning of the earliest period presented. Non-GAAP financial measures should not be considered in isolation or as alternatives to liquidity or financial measures determined in accordance with GAAP. A limitation of these measures is that they exclude significant expenses and income required by GAAP to be recorded in the financial statements. In addition, the determination of which items to exclude or include requires the application of management judgement, and these measures may not be comparable to similarly titled measures reported by other companies.</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These measures are not required to be uniformly applied, are unaudited, and should not be considered in isolation or as substitutes for results prepared in accordance with GAAP, and their presentation may not be comparable to similar measures used by other companies. Net loss is the GAAP measure most directly comparable to the non- GAAP measures presented here. For a reconciliation of the comparable GAAP measures to these non-GAAP financial measures, see the schedules attached to this release.</w:t>
      </w:r>
    </w:p>
    <w:p>
      <w:pPr>
        <w:pStyle w:val="TextBody"/>
        <w:bidi w:val="0"/>
        <w:spacing w:before="0" w:after="120"/>
        <w:ind w:left="174" w:right="0" w:hanging="0"/>
        <w:jc w:val="left"/>
        <w:rPr>
          <w:rFonts w:ascii="Helvetica;sans-serif" w:hAnsi="Helvetica;sans-serif"/>
          <w:b/>
          <w:sz w:val="18"/>
        </w:rPr>
      </w:pPr>
      <w:r>
        <w:rPr>
          <w:rFonts w:ascii="Helvetica;sans-serif" w:hAnsi="Helvetica;sans-serif"/>
          <w:b/>
          <w:sz w:val="18"/>
        </w:rPr>
        <w:t>Forward-Looking Statements</w:t>
      </w:r>
    </w:p>
    <w:p>
      <w:pPr>
        <w:pStyle w:val="TextBody"/>
        <w:pBdr/>
        <w:bidi w:val="0"/>
        <w:spacing w:before="0" w:after="120"/>
        <w:ind w:left="174" w:right="0" w:hanging="10"/>
        <w:jc w:val="left"/>
        <w:rPr>
          <w:rFonts w:ascii="Helvetica;sans-serif" w:hAnsi="Helvetica;sans-serif"/>
          <w:sz w:val="18"/>
        </w:rPr>
      </w:pPr>
      <w:r>
        <w:rPr>
          <w:rFonts w:ascii="Helvetica;sans-serif" w:hAnsi="Helvetica;sans-serif"/>
          <w:sz w:val="18"/>
        </w:rPr>
        <w:t>This press release contains “forward-looking statements” within the meaning of the United States Private Securities Litigation Reform Act of 1995, Section 27A of the Securities Act of 1933, as amended, and Section 21E of the Exchange Act. These statements include financial forecasts, projections, and other statements about future operations, financial position, business strategy, market opportunities, and trends. Forward-looking statements can often be identified by terms such as “may,” “should,” “expect,” “intend,” “will,” “estimate,” “anticipate,” “believe,” “predict,” “plan,” “targets,” “projects,” “could,” “would,” “continue,” “forecast,” or similar expressions. All forward-looking statements are based on estimates, forecasts, and assumptions that are inherently uncertain and subject to risks and factors that could cause actual results to differ materially. These include, but are not limited to: (1) risks related to the acquisition and related restructuring, including the inability to realize anticipated benefits, disruptions to operations, and costs associated with the acquisition; (2) legal proceedings; (3) failure to maintain compliance with Nasdaq listing standards; (4) competition and market conditions; (5) economic, geopolitical, and regulatory changes; (6) challenges in retaining clients, employees, and suppliers; and (7) other risks detailed in the Company’s filings with the SEC, including the “Risk Factors” section of its Annual Report on Form 10-K for 2025. Readers are cautioned not to place undue reliance on forward-looking statements, which speak only as of the date made. XBP Global undertakes no obligation to update these statements, except as required by law. There is no assurance that XBP Global or its subsidiaries will achieve the results projected in these statements.</w:t>
      </w:r>
    </w:p>
    <w:p>
      <w:pPr>
        <w:pStyle w:val="TextBody"/>
        <w:bidi w:val="0"/>
        <w:spacing w:before="0" w:after="120"/>
        <w:ind w:left="174" w:right="0" w:hanging="0"/>
        <w:jc w:val="left"/>
        <w:rPr>
          <w:rFonts w:ascii="Helvetica;sans-serif" w:hAnsi="Helvetica;sans-serif"/>
          <w:b/>
          <w:sz w:val="18"/>
        </w:rPr>
      </w:pPr>
      <w:r>
        <w:rPr>
          <w:rFonts w:ascii="Helvetica;sans-serif" w:hAnsi="Helvetica;sans-serif"/>
          <w:b/>
          <w:sz w:val="18"/>
        </w:rPr>
        <w:t>About XBP Global</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XBP Global is a multinational technology and services company powering intelligent workflows for organizations worldwide. With a presence in 20 countries and approximately 10,200 employees, XBP Global partners with over 2,000 clients, including many of the Fortune 100, to orchestrate mission-critical systems that enable hyper-automation.</w:t>
      </w:r>
    </w:p>
    <w:p>
      <w:pPr>
        <w:pStyle w:val="TextBody"/>
        <w:bidi w:val="0"/>
        <w:spacing w:before="0" w:after="120"/>
        <w:ind w:left="160" w:right="0" w:hanging="0"/>
        <w:jc w:val="left"/>
        <w:rPr>
          <w:rFonts w:ascii="Helvetica;sans-serif" w:hAnsi="Helvetica;sans-serif"/>
          <w:sz w:val="18"/>
        </w:rPr>
      </w:pPr>
      <w:r>
        <w:rPr>
          <w:rFonts w:ascii="Helvetica;sans-serif" w:hAnsi="Helvetica;sans-serif"/>
          <w:sz w:val="18"/>
        </w:rPr>
        <w:t>Our proprietary platforms, agentic AI-driven automation, and deep domain expertise across industries and the public and private sectors enable our clients to entrust us with their most impactful digital transformations and workflows. By combining innovation with execution excellence, XBP Global helps businesses reimagine how they work, transact, and unlock value.</w:t>
      </w:r>
    </w:p>
    <w:p>
      <w:pPr>
        <w:pStyle w:val="TextBody"/>
        <w:bidi w:val="0"/>
        <w:spacing w:before="0" w:after="120"/>
        <w:ind w:left="174" w:right="0" w:hanging="0"/>
        <w:jc w:val="left"/>
        <w:rPr>
          <w:rFonts w:ascii="Helvetica;sans-serif" w:hAnsi="Helvetica;sans-serif"/>
          <w:b/>
          <w:sz w:val="18"/>
        </w:rPr>
      </w:pPr>
      <w:r>
        <w:rPr>
          <w:rFonts w:ascii="Helvetica;sans-serif" w:hAnsi="Helvetica;sans-serif"/>
          <w:b/>
          <w:sz w:val="18"/>
        </w:rPr>
        <w:t>For more news, commentary, and industry perspectives, visit: https://www.xbpglobal.com/</w:t>
      </w:r>
    </w:p>
    <w:p>
      <w:pPr>
        <w:pStyle w:val="TextBody"/>
        <w:bidi w:val="0"/>
        <w:spacing w:before="0" w:after="120"/>
        <w:ind w:left="174" w:right="0" w:hanging="0"/>
        <w:jc w:val="left"/>
        <w:rPr>
          <w:rFonts w:ascii="Helvetica;sans-serif" w:hAnsi="Helvetica;sans-serif"/>
          <w:sz w:val="18"/>
        </w:rPr>
      </w:pPr>
      <w:r>
        <w:rPr>
          <w:rFonts w:ascii="Helvetica;sans-serif" w:hAnsi="Helvetica;sans-serif"/>
          <w:sz w:val="18"/>
        </w:rPr>
        <w:t>And please follow us on social:</w:t>
      </w:r>
    </w:p>
    <w:p>
      <w:pPr>
        <w:pStyle w:val="TextBody"/>
        <w:bidi w:val="0"/>
        <w:spacing w:before="0" w:after="73"/>
        <w:ind w:left="174" w:right="0" w:hanging="0"/>
        <w:jc w:val="left"/>
        <w:rPr>
          <w:rFonts w:ascii="Helvetica;sans-serif" w:hAnsi="Helvetica;sans-serif"/>
          <w:sz w:val="18"/>
        </w:rPr>
      </w:pPr>
      <w:r>
        <w:rPr>
          <w:rFonts w:ascii="Helvetica;sans-serif" w:hAnsi="Helvetica;sans-serif"/>
          <w:sz w:val="18"/>
        </w:rPr>
        <w:t>X: https://X.com/XBPglobal</w:t>
      </w:r>
    </w:p>
    <w:p>
      <w:pPr>
        <w:pStyle w:val="TextBody"/>
        <w:bidi w:val="0"/>
        <w:spacing w:before="0" w:after="120"/>
        <w:ind w:left="174" w:right="0" w:hanging="0"/>
        <w:jc w:val="left"/>
        <w:rPr>
          <w:rFonts w:ascii="Helvetica;sans-serif" w:hAnsi="Helvetica;sans-serif"/>
          <w:sz w:val="18"/>
        </w:rPr>
      </w:pPr>
      <w:r>
        <w:rPr>
          <w:rFonts w:ascii="Helvetica;sans-serif" w:hAnsi="Helvetica;sans-serif"/>
          <w:sz w:val="18"/>
        </w:rPr>
        <w:t>LinkedIn: https://www.linkedin.com/company/xbpglobal/</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120"/>
        <w:ind w:left="174" w:right="0" w:hanging="10"/>
        <w:jc w:val="left"/>
        <w:rPr>
          <w:rFonts w:ascii="Helvetica;sans-serif" w:hAnsi="Helvetica;sans-serif"/>
          <w:i/>
          <w:sz w:val="18"/>
        </w:rPr>
      </w:pPr>
      <w:r>
        <w:rPr>
          <w:rFonts w:ascii="Helvetica;sans-serif" w:hAnsi="Helvetica;sans-serif"/>
          <w:i/>
          <w:sz w:val="18"/>
        </w:rPr>
        <w:t>The information posted on XBP Global’s website and/or via its social media accounts may be deemed material to investors. Accordingly, investors, media and others interested in XBP Global should monitor XBP Global’s website and its social media accounts in addition to XBP Global’s press releases, SEC filings and public conference calls and webcasts.</w:t>
      </w:r>
    </w:p>
    <w:p>
      <w:pPr>
        <w:pStyle w:val="TextBody"/>
        <w:bidi w:val="0"/>
        <w:spacing w:before="0" w:after="120"/>
        <w:ind w:left="184" w:right="0" w:hanging="0"/>
        <w:jc w:val="left"/>
        <w:rPr>
          <w:rFonts w:ascii="Helvetica;sans-serif" w:hAnsi="Helvetica;sans-serif"/>
          <w:sz w:val="18"/>
        </w:rPr>
      </w:pPr>
      <w:r>
        <w:rPr>
          <w:rFonts w:ascii="Helvetica;sans-serif" w:hAnsi="Helvetica;sans-serif"/>
          <w:b/>
          <w:sz w:val="18"/>
        </w:rPr>
        <w:t xml:space="preserve">Investor Relations: </w:t>
      </w:r>
      <w:r>
        <w:rPr>
          <w:rFonts w:ascii="Helvetica;sans-serif" w:hAnsi="Helvetica;sans-serif"/>
          <w:sz w:val="18"/>
        </w:rPr>
        <w:t xml:space="preserve">David Shamis, CFA, </w:t>
      </w:r>
      <w:r>
        <w:rPr>
          <w:rFonts w:ascii="Helvetica;sans-serif" w:hAnsi="Helvetica;sans-serif"/>
          <w:color w:val="1154CC"/>
          <w:sz w:val="18"/>
          <w:u w:val="single"/>
        </w:rPr>
        <w:t>investors@xbpglobal.com</w:t>
      </w:r>
      <w:r>
        <w:rPr>
          <w:rFonts w:ascii="Helvetica;sans-serif" w:hAnsi="Helvetica;sans-serif"/>
          <w:sz w:val="18"/>
        </w:rPr>
        <w:t xml:space="preserve"> | </w:t>
      </w:r>
      <w:r>
        <w:rPr>
          <w:rFonts w:ascii="Helvetica;sans-serif" w:hAnsi="Helvetica;sans-serif"/>
          <w:b/>
          <w:sz w:val="18"/>
        </w:rPr>
        <w:t xml:space="preserve">Media Queries: </w:t>
      </w:r>
      <w:r>
        <w:rPr>
          <w:rFonts w:ascii="Helvetica;sans-serif" w:hAnsi="Helvetica;sans-serif"/>
          <w:sz w:val="18"/>
        </w:rPr>
        <w:t xml:space="preserve">Srushti Rao, </w:t>
      </w:r>
      <w:r>
        <w:rPr>
          <w:rFonts w:ascii="Helvetica;sans-serif" w:hAnsi="Helvetica;sans-serif"/>
          <w:color w:val="1154CC"/>
          <w:sz w:val="18"/>
          <w:u w:val="single"/>
        </w:rPr>
        <w:t>press@xbpglobal.com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br/>
        <w:t>Condensed Consolidated Balance Sheets</w:t>
      </w:r>
    </w:p>
    <w:p>
      <w:pPr>
        <w:pStyle w:val="TextBody"/>
        <w:bidi w:val="0"/>
        <w:spacing w:before="0" w:after="120"/>
        <w:ind w:left="0" w:right="0" w:firstLine="199"/>
        <w:jc w:val="center"/>
        <w:rPr>
          <w:rFonts w:ascii="Helvetica;sans-serif" w:hAnsi="Helvetica;sans-serif"/>
          <w:b/>
          <w:sz w:val="18"/>
        </w:rPr>
      </w:pPr>
      <w:r>
        <w:rPr>
          <w:rFonts w:ascii="Helvetica;sans-serif" w:hAnsi="Helvetica;sans-serif"/>
          <w:b/>
          <w:sz w:val="18"/>
        </w:rPr>
        <w:t>As of March 31, 2026 (Successor) and December 31, 2025 (Successor)</w:t>
        <w:br/>
        <w:t>(in thousands of United States dollars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472"/>
        <w:gridCol w:w="346"/>
        <w:gridCol w:w="181"/>
        <w:gridCol w:w="684"/>
        <w:gridCol w:w="346"/>
        <w:gridCol w:w="214"/>
        <w:gridCol w:w="768"/>
        <w:gridCol w:w="194"/>
      </w:tblGrid>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4935" cy="175260"/>
                      <wp:effectExtent l="0" t="0" r="0" b="0"/>
                      <wp:wrapNone/>
                      <wp:docPr id="16" name="Frame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34340" cy="175260"/>
                      <wp:effectExtent l="0" t="0" r="0" b="0"/>
                      <wp:wrapNone/>
                      <wp:docPr id="17" name="Frame1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5890" cy="175260"/>
                      <wp:effectExtent l="0" t="0" r="0" b="0"/>
                      <wp:wrapNone/>
                      <wp:docPr id="19" name="Frame1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7680" cy="175260"/>
                      <wp:effectExtent l="0" t="0" r="0" b="0"/>
                      <wp:wrapNone/>
                      <wp:docPr id="20" name="Frame1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3190" cy="175260"/>
                      <wp:effectExtent l="0" t="0" r="0" b="0"/>
                      <wp:wrapNone/>
                      <wp:docPr id="21" name="Frame20"/>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3" w:type="dxa"/>
            <w:gridSpan w:val="5"/>
            <w:tcBorders/>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Successor</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Consolidated</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3" w:type="dxa"/>
            <w:gridSpan w:val="5"/>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sz w:val="14"/>
              </w:rPr>
            </w:pPr>
            <w:r>
              <w:rPr>
                <w:rFonts w:ascii="Helvetica;sans-serif" w:hAnsi="Helvetica;sans-serif"/>
                <w:b/>
                <w:sz w:val="14"/>
              </w:rPr>
              <w:t>March</w:t>
            </w:r>
            <w:r>
              <w:rPr>
                <w:rFonts w:ascii="Helvetica;sans-serif" w:hAnsi="Helvetica;sans-serif"/>
                <w:sz w:val="14"/>
              </w:rPr>
              <w:t> </w:t>
            </w:r>
            <w:r>
              <w:rPr>
                <w:rFonts w:ascii="Helvetica;sans-serif" w:hAnsi="Helvetica;sans-serif"/>
                <w:b/>
                <w:sz w:val="14"/>
              </w:rPr>
              <w:t>31,</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(Unaudited)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December</w:t>
            </w:r>
            <w:r>
              <w:rPr>
                <w:rFonts w:ascii="Helvetica;sans-serif" w:hAnsi="Helvetica;sans-serif"/>
                <w:sz w:val="14"/>
              </w:rPr>
              <w:t> </w:t>
            </w:r>
            <w:r>
              <w:rPr>
                <w:rFonts w:ascii="Helvetica;sans-serif" w:hAnsi="Helvetica;sans-serif"/>
                <w:b/>
                <w:sz w:val="14"/>
              </w:rPr>
              <w:t>31,</w:t>
            </w:r>
          </w:p>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2025</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  ​ ​ ​</w:t>
            </w:r>
          </w:p>
        </w:tc>
        <w:tc>
          <w:tcPr>
            <w:tcW w:w="194" w:type="dxa"/>
            <w:tcBorders/>
            <w:shd w:fill="CCEEFF" w:val="clear"/>
            <w:vAlign w:val="center"/>
          </w:tcPr>
          <w:p>
            <w:pPr>
              <w:pStyle w:val="TableContents"/>
              <w:bidi w:val="0"/>
              <w:spacing w:before="0" w:after="0"/>
              <w:ind w:left="0" w:right="0" w:hanging="0"/>
              <w:jc w:val="left"/>
              <w:rPr/>
            </w:pPr>
            <w:r>
              <w:rPr/>
              <w:t> </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Current assets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28,464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37,113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Restricted cash</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24,639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31,553</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Accounts receivable, net of allowance for credit losses of $4,927 and $5,660,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130,253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130,281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Related party receivables and prepaid expenses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987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736</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11,385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11,365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26,681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28,699</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8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222,409</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2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239,747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Property, plant and equipment, net of accumulated depreciation of $15,074 and $11,094, respectively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78,055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82,956</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Operating lease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27,856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30,339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Goodwill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189,881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189,881</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335,232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344,080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Other noncurrent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18,008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15,094</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t>
            </w:r>
          </w:p>
        </w:tc>
        <w:tc>
          <w:tcPr>
            <w:tcW w:w="6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871,441</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w:t>
            </w:r>
          </w:p>
        </w:tc>
        <w:tc>
          <w:tcPr>
            <w:tcW w:w="76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902,097</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8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b/>
                <w:sz w:val="14"/>
              </w:rPr>
              <w:t>Liabilities and Stockholders</w:t>
            </w:r>
            <w:r>
              <w:rPr>
                <w:rFonts w:ascii="Helvetica;sans-serif" w:hAnsi="Helvetica;sans-serif"/>
                <w:sz w:val="14"/>
              </w:rPr>
              <w:t xml:space="preserve">’ </w:t>
            </w:r>
            <w:r>
              <w:rPr>
                <w:rFonts w:ascii="Helvetica;sans-serif" w:hAnsi="Helvetica;sans-serif"/>
                <w:b/>
                <w:sz w:val="14"/>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32,260</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34,334</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69,775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55,700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Related party payables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4,968</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5,343</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5,747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6,158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Accrued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51,987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47,101</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Accrued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56,892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56,314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Accrued interest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9,374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13,685</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Customer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18,359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21,691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Deferred revenue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14,197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11,881</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Obligation for claim payment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53,203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55,632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Current portion of finance lease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4,325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4,390</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9,592</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9,814</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Total current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68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330,679</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6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322,043</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Long-term debt, net of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8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348,947</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2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353,267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Finance lease liabilities, net of current portion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5,818</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6,857</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Net defined benefit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6,161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6,241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Deferred income tax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48,546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52,595</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Long-term income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11,188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10,554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Operating lease liabilities, net of current portion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20,224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22,530</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37,318</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40,671</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Total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68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808,881</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6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814,758</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Commitments and Contingencies (Note 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8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2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b/>
                <w:sz w:val="14"/>
              </w:rPr>
              <w:t>Stockholders</w:t>
            </w:r>
            <w:r>
              <w:rPr>
                <w:rFonts w:ascii="Helvetica;sans-serif" w:hAnsi="Helvetica;sans-serif"/>
                <w:sz w:val="14"/>
              </w:rPr>
              <w:t xml:space="preserve">’ </w:t>
            </w:r>
            <w:r>
              <w:rPr>
                <w:rFonts w:ascii="Helvetica;sans-serif" w:hAnsi="Helvetica;sans-serif"/>
                <w:b/>
                <w:sz w:val="14"/>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14" w:right="0" w:hanging="0"/>
              <w:jc w:val="left"/>
              <w:rPr>
                <w:rFonts w:ascii="Helvetica;sans-serif" w:hAnsi="Helvetica;sans-serif"/>
                <w:sz w:val="14"/>
              </w:rPr>
            </w:pPr>
            <w:r>
              <w:rPr>
                <w:rFonts w:ascii="Helvetica;sans-serif" w:hAnsi="Helvetica;sans-serif"/>
                <w:sz w:val="14"/>
              </w:rPr>
              <w:t>Common stock, par value of $0.0001 per share; 400,000,000 shares authorized; 11,768,050 shares issued and outstanding as of March</w:t>
            </w:r>
          </w:p>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31, 2026 and 11,755,434 shares issued and outstanding as of December 31, 2025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14" w:right="0" w:hanging="0"/>
              <w:jc w:val="left"/>
              <w:rPr>
                <w:rFonts w:ascii="Helvetica;sans-serif" w:hAnsi="Helvetica;sans-serif"/>
                <w:sz w:val="14"/>
              </w:rPr>
            </w:pPr>
            <w:r>
              <w:rPr>
                <w:rFonts w:ascii="Helvetica;sans-serif" w:hAnsi="Helvetica;sans-serif"/>
                <w:sz w:val="14"/>
              </w:rPr>
              <w:t>Preferred stock, par value of $0.0001 per share; 20,000,000 shares authorized; none issued and outstanding as of March 31, 2026 and</w:t>
            </w:r>
          </w:p>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 xml:space="preserve">— </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Additional paid in capital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438,406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437,995</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(377,885)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(351,123)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Accumulated other comprehensive profit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419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(1,263)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Unrealized pension actuarial gains, net of tax</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1,608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1,718</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0" w:right="0" w:hanging="0"/>
              <w:jc w:val="left"/>
              <w:rPr>
                <w:rFonts w:ascii="Helvetica;sans-serif" w:hAnsi="Helvetica;sans-serif"/>
                <w:b/>
                <w:sz w:val="14"/>
              </w:rPr>
            </w:pPr>
            <w:r>
              <w:rPr>
                <w:rFonts w:ascii="Helvetica;sans-serif" w:hAnsi="Helvetica;sans-serif"/>
                <w:b/>
                <w:sz w:val="14"/>
              </w:rPr>
              <w:t>Total accumulated other comprehensive profit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2,027</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6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455</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472"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Total stockholders</w:t>
            </w:r>
            <w:r>
              <w:rPr>
                <w:rFonts w:ascii="Helvetica;sans-serif" w:hAnsi="Helvetica;sans-serif"/>
                <w:sz w:val="14"/>
              </w:rPr>
              <w:t xml:space="preserve">’ </w:t>
            </w:r>
            <w:r>
              <w:rPr>
                <w:rFonts w:ascii="Helvetica;sans-serif" w:hAnsi="Helvetica;sans-serif"/>
                <w:b/>
                <w:sz w:val="14"/>
              </w:rPr>
              <w:t>equity</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68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62,560</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6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87,339</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72"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b/>
                <w:sz w:val="14"/>
              </w:rPr>
              <w:t>Total liabilities and stockholders</w:t>
            </w:r>
            <w:r>
              <w:rPr>
                <w:rFonts w:ascii="Helvetica;sans-serif" w:hAnsi="Helvetica;sans-serif"/>
                <w:sz w:val="14"/>
              </w:rPr>
              <w:t xml:space="preserve">’ </w:t>
            </w:r>
            <w:r>
              <w:rPr>
                <w:rFonts w:ascii="Helvetica;sans-serif" w:hAnsi="Helvetica;sans-serif"/>
                <w:b/>
                <w:sz w:val="14"/>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6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871,441</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76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902,097</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Condensed Consolidated and Combined Statements of Operations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For the three months ended March 31, 2026 (Successor) and March 31, 2025 (Predecessor)</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 except share and per share amounts)</w:t>
      </w:r>
    </w:p>
    <w:p>
      <w:pPr>
        <w:pStyle w:val="TextBody"/>
        <w:bidi w:val="0"/>
        <w:spacing w:before="0" w:after="120"/>
        <w:ind w:left="0" w:right="0" w:hanging="0"/>
        <w:jc w:val="center"/>
        <w:rPr>
          <w:rFonts w:ascii="Helvetica;sans-serif" w:hAnsi="Helvetica;sans-serif"/>
          <w:sz w:val="18"/>
        </w:rPr>
      </w:pPr>
      <w:r>
        <w:rPr>
          <w:rFonts w:ascii="Helvetica;sans-serif" w:hAnsi="Helvetica;sans-serif"/>
          <w:sz w:val="18"/>
        </w:rPr>
        <w:t>(Unaudited)</w:t>
      </w:r>
    </w:p>
    <w:tbl>
      <w:tblPr>
        <w:tblW w:w="10205" w:type="dxa"/>
        <w:jc w:val="center"/>
        <w:tblInd w:w="0" w:type="dxa"/>
        <w:tblLayout w:type="fixed"/>
        <w:tblCellMar>
          <w:top w:w="0" w:type="dxa"/>
          <w:left w:w="0" w:type="dxa"/>
          <w:bottom w:w="0" w:type="dxa"/>
          <w:right w:w="0" w:type="dxa"/>
        </w:tblCellMar>
      </w:tblPr>
      <w:tblGrid>
        <w:gridCol w:w="5180"/>
        <w:gridCol w:w="346"/>
        <w:gridCol w:w="385"/>
        <w:gridCol w:w="1371"/>
        <w:gridCol w:w="346"/>
        <w:gridCol w:w="525"/>
        <w:gridCol w:w="1861"/>
        <w:gridCol w:w="191"/>
      </w:tblGrid>
      <w:tr>
        <w:trPr/>
        <w:tc>
          <w:tcPr>
            <w:tcW w:w="5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44475" cy="175260"/>
                      <wp:effectExtent l="0" t="0" r="0" b="0"/>
                      <wp:wrapNone/>
                      <wp:docPr id="23" name="Frame2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33375" cy="175260"/>
                      <wp:effectExtent l="0" t="0" r="0" b="0"/>
                      <wp:wrapNone/>
                      <wp:docPr id="25" name="Frame24"/>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1285" cy="175260"/>
                      <wp:effectExtent l="0" t="0" r="0" b="0"/>
                      <wp:wrapNone/>
                      <wp:docPr id="26"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56"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Successor</w:t>
            </w:r>
          </w:p>
        </w:tc>
        <w:tc>
          <w:tcPr>
            <w:tcW w:w="346" w:type="dxa"/>
            <w:tcBorders/>
            <w:vAlign w:val="center"/>
          </w:tcPr>
          <w:p>
            <w:pPr>
              <w:pStyle w:val="TableContents"/>
              <w:bidi w:val="0"/>
              <w:spacing w:before="0" w:after="0"/>
              <w:ind w:left="0" w:right="0" w:hanging="0"/>
              <w:jc w:val="left"/>
              <w:rPr/>
            </w:pPr>
            <w:r>
              <w:rPr/>
              <w:t>  ​ ​ ​</w:t>
            </w:r>
          </w:p>
        </w:tc>
        <w:tc>
          <w:tcPr>
            <w:tcW w:w="2386"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Predecessor</w:t>
            </w:r>
          </w:p>
        </w:tc>
        <w:tc>
          <w:tcPr>
            <w:tcW w:w="191" w:type="dxa"/>
            <w:tcBorders/>
            <w:vAlign w:val="center"/>
          </w:tcPr>
          <w:p>
            <w:pPr>
              <w:pStyle w:val="TableContents"/>
              <w:bidi w:val="0"/>
              <w:spacing w:before="0" w:after="0"/>
              <w:ind w:left="0" w:right="0" w:hanging="0"/>
              <w:jc w:val="left"/>
              <w:rPr/>
            </w:pPr>
            <w:r>
              <w:rPr/>
              <w:t> </w:t>
            </w:r>
          </w:p>
        </w:tc>
      </w:tr>
      <w:tr>
        <w:trPr/>
        <w:tc>
          <w:tcPr>
            <w:tcW w:w="5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Consolidated</w:t>
            </w:r>
          </w:p>
        </w:tc>
        <w:tc>
          <w:tcPr>
            <w:tcW w:w="346" w:type="dxa"/>
            <w:tcBorders/>
            <w:vAlign w:val="center"/>
          </w:tcPr>
          <w:p>
            <w:pPr>
              <w:pStyle w:val="TableContents"/>
              <w:bidi w:val="0"/>
              <w:spacing w:before="0" w:after="0"/>
              <w:ind w:left="0" w:right="0" w:hanging="0"/>
              <w:jc w:val="left"/>
              <w:rPr/>
            </w:pPr>
            <w:r>
              <w:rPr/>
              <w:t>​</w:t>
            </w:r>
          </w:p>
        </w:tc>
        <w:tc>
          <w:tcPr>
            <w:tcW w:w="2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Combined</w:t>
            </w:r>
            <w:r>
              <w:rPr>
                <w:rFonts w:ascii="Helvetica;sans-serif" w:hAnsi="Helvetica;sans-serif"/>
                <w:sz w:val="16"/>
              </w:rPr>
              <w:t> </w:t>
            </w:r>
            <w:r>
              <w:rPr>
                <w:rFonts w:ascii="Helvetica;sans-serif" w:hAnsi="Helvetica;sans-serif"/>
                <w:b/>
                <w:sz w:val="16"/>
              </w:rPr>
              <w:t>and</w:t>
            </w:r>
            <w:r>
              <w:rPr>
                <w:rFonts w:ascii="Helvetica;sans-serif" w:hAnsi="Helvetica;sans-serif"/>
                <w:sz w:val="16"/>
              </w:rPr>
              <w:t> </w:t>
            </w:r>
            <w:r>
              <w:rPr>
                <w:rFonts w:ascii="Helvetica;sans-serif" w:hAnsi="Helvetica;sans-serif"/>
                <w:b/>
                <w:sz w:val="16"/>
              </w:rPr>
              <w:t>Consolidated</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gridSpan w:val="2"/>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Three</w:t>
            </w:r>
            <w:r>
              <w:rPr>
                <w:rFonts w:ascii="Helvetica;sans-serif" w:hAnsi="Helvetica;sans-serif"/>
                <w:sz w:val="16"/>
              </w:rPr>
              <w:t> </w:t>
            </w:r>
            <w:r>
              <w:rPr>
                <w:rFonts w:ascii="Helvetica;sans-serif" w:hAnsi="Helvetica;sans-serif"/>
                <w:b/>
                <w:sz w:val="16"/>
              </w:rPr>
              <w:t>Months</w:t>
            </w:r>
            <w:r>
              <w:rPr>
                <w:rFonts w:ascii="Helvetica;sans-serif" w:hAnsi="Helvetica;sans-serif"/>
                <w:sz w:val="16"/>
              </w:rPr>
              <w:t> </w:t>
            </w:r>
            <w:r>
              <w:rPr>
                <w:rFonts w:ascii="Helvetica;sans-serif" w:hAnsi="Helvetica;sans-serif"/>
                <w:b/>
                <w:sz w:val="16"/>
              </w:rPr>
              <w:t>Ended</w:t>
              <w:br/>
              <w:t>March</w:t>
            </w:r>
            <w:r>
              <w:rPr>
                <w:rFonts w:ascii="Helvetica;sans-serif" w:hAnsi="Helvetica;sans-serif"/>
                <w:sz w:val="16"/>
              </w:rPr>
              <w:t> </w:t>
            </w:r>
            <w:r>
              <w:rPr>
                <w:rFonts w:ascii="Helvetica;sans-serif" w:hAnsi="Helvetica;sans-serif"/>
                <w:b/>
                <w:sz w:val="16"/>
              </w:rPr>
              <w:t>31,</w:t>
            </w:r>
          </w:p>
        </w:tc>
        <w:tc>
          <w:tcPr>
            <w:tcW w:w="346" w:type="dxa"/>
            <w:tcBorders/>
            <w:vAlign w:val="center"/>
          </w:tcPr>
          <w:p>
            <w:pPr>
              <w:pStyle w:val="TableContents"/>
              <w:bidi w:val="0"/>
              <w:spacing w:before="0" w:after="0"/>
              <w:ind w:left="0" w:right="0" w:hanging="0"/>
              <w:jc w:val="left"/>
              <w:rPr/>
            </w:pPr>
            <w:r>
              <w:rPr/>
              <w:t>​</w:t>
            </w:r>
          </w:p>
        </w:tc>
        <w:tc>
          <w:tcPr>
            <w:tcW w:w="238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Three</w:t>
            </w:r>
            <w:r>
              <w:rPr>
                <w:rFonts w:ascii="Helvetica;sans-serif" w:hAnsi="Helvetica;sans-serif"/>
                <w:sz w:val="16"/>
              </w:rPr>
              <w:t> </w:t>
            </w:r>
            <w:r>
              <w:rPr>
                <w:rFonts w:ascii="Helvetica;sans-serif" w:hAnsi="Helvetica;sans-serif"/>
                <w:b/>
                <w:sz w:val="16"/>
              </w:rPr>
              <w:t>Months</w:t>
            </w:r>
            <w:r>
              <w:rPr>
                <w:rFonts w:ascii="Helvetica;sans-serif" w:hAnsi="Helvetica;sans-serif"/>
                <w:sz w:val="16"/>
              </w:rPr>
              <w:t> </w:t>
            </w:r>
            <w:r>
              <w:rPr>
                <w:rFonts w:ascii="Helvetica;sans-serif" w:hAnsi="Helvetica;sans-serif"/>
                <w:b/>
                <w:sz w:val="16"/>
              </w:rPr>
              <w:t>Ended</w:t>
              <w:br/>
              <w:t>March</w:t>
            </w:r>
            <w:r>
              <w:rPr>
                <w:rFonts w:ascii="Helvetica;sans-serif" w:hAnsi="Helvetica;sans-serif"/>
                <w:sz w:val="16"/>
              </w:rPr>
              <w:t> </w:t>
            </w:r>
            <w:r>
              <w:rPr>
                <w:rFonts w:ascii="Helvetica;sans-serif" w:hAnsi="Helvetica;sans-serif"/>
                <w:b/>
                <w:sz w:val="16"/>
              </w:rPr>
              <w:t>31,</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2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3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197,085</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8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190,495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Related party revenue</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47</w:t>
            </w:r>
          </w:p>
        </w:tc>
        <w:tc>
          <w:tcPr>
            <w:tcW w:w="346"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1,484</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Cost of revenue (exclusive of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151,897</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150,645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Selling, general and administrative expenses (exclusive of depreciation and amortization)</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42,814</w:t>
            </w:r>
          </w:p>
        </w:tc>
        <w:tc>
          <w:tcPr>
            <w:tcW w:w="346"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22,262</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14,849</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10,535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Related party expense, net</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2,653</w:t>
            </w:r>
          </w:p>
        </w:tc>
        <w:tc>
          <w:tcPr>
            <w:tcW w:w="346" w:type="dxa"/>
            <w:tcBorders/>
            <w:vAlign w:val="center"/>
          </w:tcPr>
          <w:p>
            <w:pPr>
              <w:pStyle w:val="TableContents"/>
              <w:bidi w:val="0"/>
              <w:spacing w:before="0" w:after="0"/>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2,553</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(15,081)</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8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5,984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Other expense (income), net:</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14,069</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23,780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Debt modification and extinguishment costs, net</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109</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Sundry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Other income, net</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(561)</w:t>
            </w:r>
          </w:p>
        </w:tc>
        <w:tc>
          <w:tcPr>
            <w:tcW w:w="346" w:type="dxa"/>
            <w:tcBorders/>
            <w:vAlign w:val="center"/>
          </w:tcPr>
          <w:p>
            <w:pPr>
              <w:pStyle w:val="TableContents"/>
              <w:bidi w:val="0"/>
              <w:spacing w:before="0" w:after="0"/>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Loss before reorganization items and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(28,197)</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8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(19,194)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Reorganization items</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(60,845)</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Profit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(28,197)</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8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41,651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Income tax expense (benefit)</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(1,435)</w:t>
            </w:r>
          </w:p>
        </w:tc>
        <w:tc>
          <w:tcPr>
            <w:tcW w:w="346"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2,028</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Net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(26,762)</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w:t>
            </w:r>
          </w:p>
        </w:tc>
        <w:tc>
          <w:tcPr>
            <w:tcW w:w="1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b/>
                <w:sz w:val="16"/>
              </w:rPr>
            </w:pPr>
            <w:r>
              <w:rPr>
                <w:rFonts w:ascii="Helvetica;sans-serif" w:hAnsi="Helvetica;sans-serif"/>
                <w:b/>
                <w:sz w:val="16"/>
              </w:rPr>
              <w:t>39,623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180" w:type="dxa"/>
            <w:tcBorders/>
            <w:vAlign w:val="center"/>
          </w:tcPr>
          <w:p>
            <w:pPr>
              <w:pStyle w:val="TableContents"/>
              <w:pBdr/>
              <w:bidi w:val="0"/>
              <w:spacing w:before="0" w:after="0"/>
              <w:ind w:left="0" w:right="0" w:hanging="0"/>
              <w:jc w:val="left"/>
              <w:rPr>
                <w:rFonts w:ascii="Helvetica;sans-serif" w:hAnsi="Helvetica;sans-serif"/>
                <w:b/>
                <w:sz w:val="16"/>
              </w:rPr>
            </w:pPr>
            <w:r>
              <w:rPr>
                <w:rFonts w:ascii="Helvetica;sans-serif" w:hAnsi="Helvetica;sans-serif"/>
                <w:b/>
                <w:sz w:val="16"/>
              </w:rPr>
              <w:t>Net loss per common share</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3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180" w:type="dxa"/>
            <w:tcBorders/>
            <w:shd w:fill="CCEEFF" w:val="clear"/>
            <w:vAlign w:val="center"/>
          </w:tcPr>
          <w:p>
            <w:pPr>
              <w:pStyle w:val="TableContents"/>
              <w:pBdr/>
              <w:bidi w:val="0"/>
              <w:spacing w:before="0" w:after="0"/>
              <w:ind w:left="0" w:right="0" w:hanging="0"/>
              <w:jc w:val="left"/>
              <w:rPr>
                <w:rFonts w:ascii="Helvetica;sans-serif" w:hAnsi="Helvetica;sans-serif"/>
                <w:sz w:val="16"/>
              </w:rPr>
            </w:pPr>
            <w:r>
              <w:rPr>
                <w:rFonts w:ascii="Helvetica;sans-serif" w:hAnsi="Helvetica;sans-serif"/>
                <w:sz w:val="16"/>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Condensed Consolidated and Combined Statements of Cash Flows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For the three months ended March 31, 2026 (Successor) and March 31, 2025 (Predecessor)</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 except share and per share amounts)</w:t>
      </w:r>
    </w:p>
    <w:p>
      <w:pPr>
        <w:pStyle w:val="TextBody"/>
        <w:bidi w:val="0"/>
        <w:spacing w:before="0" w:after="120"/>
        <w:ind w:left="0" w:right="0" w:hanging="0"/>
        <w:jc w:val="center"/>
        <w:rPr>
          <w:rFonts w:ascii="Helvetica;sans-serif" w:hAnsi="Helvetica;sans-serif"/>
          <w:sz w:val="18"/>
        </w:rPr>
      </w:pPr>
      <w:r>
        <w:rPr>
          <w:rFonts w:ascii="Helvetica;sans-serif" w:hAnsi="Helvetica;sans-serif"/>
          <w:sz w:val="18"/>
        </w:rPr>
        <w:t>(Unaudited)</w:t>
      </w:r>
    </w:p>
    <w:tbl>
      <w:tblPr>
        <w:tblW w:w="8822" w:type="dxa"/>
        <w:jc w:val="center"/>
        <w:tblInd w:w="0" w:type="dxa"/>
        <w:tblLayout w:type="fixed"/>
        <w:tblCellMar>
          <w:top w:w="0" w:type="dxa"/>
          <w:left w:w="0" w:type="dxa"/>
          <w:bottom w:w="0" w:type="dxa"/>
          <w:right w:w="0" w:type="dxa"/>
        </w:tblCellMar>
      </w:tblPr>
      <w:tblGrid>
        <w:gridCol w:w="4861"/>
        <w:gridCol w:w="346"/>
        <w:gridCol w:w="297"/>
        <w:gridCol w:w="1069"/>
        <w:gridCol w:w="346"/>
        <w:gridCol w:w="346"/>
        <w:gridCol w:w="328"/>
        <w:gridCol w:w="1038"/>
        <w:gridCol w:w="191"/>
      </w:tblGrid>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8595" cy="175260"/>
                      <wp:effectExtent l="0" t="0" r="0" b="0"/>
                      <wp:wrapNone/>
                      <wp:docPr id="28" name="Frame2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78815" cy="175260"/>
                      <wp:effectExtent l="0" t="0" r="0" b="0"/>
                      <wp:wrapNone/>
                      <wp:docPr id="29" name="Frame28"/>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8280" cy="175260"/>
                      <wp:effectExtent l="0" t="0" r="0" b="0"/>
                      <wp:wrapNone/>
                      <wp:docPr id="31" name="Frame3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59130" cy="175260"/>
                      <wp:effectExtent l="0" t="0" r="0" b="0"/>
                      <wp:wrapNone/>
                      <wp:docPr id="32" name="Frame31"/>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920" cy="175260"/>
                      <wp:effectExtent l="0" t="0" r="0" b="0"/>
                      <wp:wrapNone/>
                      <wp:docPr id="33" name="Frame3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Successor</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Predecessor</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Consolidated</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36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sz w:val="12"/>
              </w:rPr>
            </w:pPr>
            <w:r>
              <w:rPr>
                <w:rFonts w:ascii="Helvetica;sans-serif" w:hAnsi="Helvetica;sans-serif"/>
                <w:b/>
                <w:sz w:val="13"/>
              </w:rPr>
              <w:t>Combined</w:t>
            </w:r>
            <w:r>
              <w:rPr>
                <w:rFonts w:ascii="Helvetica;sans-serif" w:hAnsi="Helvetica;sans-serif"/>
                <w:sz w:val="12"/>
              </w:rPr>
              <w:t> </w:t>
            </w:r>
            <w:r>
              <w:rPr>
                <w:rFonts w:ascii="Helvetica;sans-serif" w:hAnsi="Helvetica;sans-serif"/>
                <w:b/>
                <w:sz w:val="13"/>
              </w:rPr>
              <w:t>and</w:t>
            </w:r>
          </w:p>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Consolidated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sz w:val="12"/>
              </w:rPr>
            </w:pPr>
            <w:r>
              <w:rPr>
                <w:rFonts w:ascii="Helvetica;sans-serif" w:hAnsi="Helvetica;sans-serif"/>
                <w:b/>
                <w:sz w:val="13"/>
              </w:rPr>
              <w:t>Three</w:t>
            </w:r>
            <w:r>
              <w:rPr>
                <w:rFonts w:ascii="Helvetica;sans-serif" w:hAnsi="Helvetica;sans-serif"/>
                <w:sz w:val="12"/>
              </w:rPr>
              <w:t> </w:t>
            </w:r>
            <w:r>
              <w:rPr>
                <w:rFonts w:ascii="Helvetica;sans-serif" w:hAnsi="Helvetica;sans-serif"/>
                <w:b/>
                <w:sz w:val="13"/>
              </w:rPr>
              <w:t>Months</w:t>
            </w:r>
            <w:r>
              <w:rPr>
                <w:rFonts w:ascii="Helvetica;sans-serif" w:hAnsi="Helvetica;sans-serif"/>
                <w:sz w:val="12"/>
              </w:rPr>
              <w:t> </w:t>
            </w:r>
            <w:r>
              <w:rPr>
                <w:rFonts w:ascii="Helvetica;sans-serif" w:hAnsi="Helvetica;sans-serif"/>
                <w:b/>
                <w:sz w:val="13"/>
              </w:rPr>
              <w:t>Ended</w:t>
            </w:r>
          </w:p>
          <w:p>
            <w:pPr>
              <w:pStyle w:val="TableContents"/>
              <w:bidi w:val="0"/>
              <w:spacing w:before="0" w:after="0"/>
              <w:ind w:left="0" w:right="0" w:hanging="0"/>
              <w:jc w:val="center"/>
              <w:rPr>
                <w:rFonts w:ascii="Helvetica;sans-serif" w:hAnsi="Helvetica;sans-serif"/>
                <w:sz w:val="12"/>
              </w:rPr>
            </w:pPr>
            <w:r>
              <w:rPr>
                <w:rFonts w:ascii="Helvetica;sans-serif" w:hAnsi="Helvetica;sans-serif"/>
                <w:b/>
                <w:sz w:val="13"/>
              </w:rPr>
              <w:t>March</w:t>
            </w:r>
            <w:r>
              <w:rPr>
                <w:rFonts w:ascii="Helvetica;sans-serif" w:hAnsi="Helvetica;sans-serif"/>
                <w:sz w:val="12"/>
              </w:rPr>
              <w:t> </w:t>
            </w:r>
            <w:r>
              <w:rPr>
                <w:rFonts w:ascii="Helvetica;sans-serif" w:hAnsi="Helvetica;sans-serif"/>
                <w:b/>
                <w:sz w:val="13"/>
              </w:rPr>
              <w:t>31,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36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sz w:val="12"/>
              </w:rPr>
            </w:pPr>
            <w:r>
              <w:rPr>
                <w:rFonts w:ascii="Helvetica;sans-serif" w:hAnsi="Helvetica;sans-serif"/>
                <w:b/>
                <w:sz w:val="13"/>
              </w:rPr>
              <w:t>Three</w:t>
            </w:r>
            <w:r>
              <w:rPr>
                <w:rFonts w:ascii="Helvetica;sans-serif" w:hAnsi="Helvetica;sans-serif"/>
                <w:sz w:val="12"/>
              </w:rPr>
              <w:t> </w:t>
            </w:r>
            <w:r>
              <w:rPr>
                <w:rFonts w:ascii="Helvetica;sans-serif" w:hAnsi="Helvetica;sans-serif"/>
                <w:b/>
                <w:sz w:val="13"/>
              </w:rPr>
              <w:t>Months</w:t>
            </w:r>
            <w:r>
              <w:rPr>
                <w:rFonts w:ascii="Helvetica;sans-serif" w:hAnsi="Helvetica;sans-serif"/>
                <w:sz w:val="12"/>
              </w:rPr>
              <w:t> </w:t>
            </w:r>
            <w:r>
              <w:rPr>
                <w:rFonts w:ascii="Helvetica;sans-serif" w:hAnsi="Helvetica;sans-serif"/>
                <w:b/>
                <w:sz w:val="13"/>
              </w:rPr>
              <w:t>Ended</w:t>
            </w:r>
          </w:p>
          <w:p>
            <w:pPr>
              <w:pStyle w:val="TableContents"/>
              <w:bidi w:val="0"/>
              <w:spacing w:before="0" w:after="0"/>
              <w:ind w:left="0" w:right="0" w:hanging="0"/>
              <w:jc w:val="center"/>
              <w:rPr>
                <w:rFonts w:ascii="Helvetica;sans-serif" w:hAnsi="Helvetica;sans-serif"/>
                <w:sz w:val="12"/>
              </w:rPr>
            </w:pPr>
            <w:r>
              <w:rPr>
                <w:rFonts w:ascii="Helvetica;sans-serif" w:hAnsi="Helvetica;sans-serif"/>
                <w:b/>
                <w:sz w:val="13"/>
              </w:rPr>
              <w:t>March</w:t>
            </w:r>
            <w:r>
              <w:rPr>
                <w:rFonts w:ascii="Helvetica;sans-serif" w:hAnsi="Helvetica;sans-serif"/>
                <w:sz w:val="12"/>
              </w:rPr>
              <w:t> </w:t>
            </w:r>
            <w:r>
              <w:rPr>
                <w:rFonts w:ascii="Helvetica;sans-serif" w:hAnsi="Helvetica;sans-serif"/>
                <w:b/>
                <w:sz w:val="13"/>
              </w:rPr>
              <w:t>31,</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2026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3"/>
              </w:rPr>
            </w:pPr>
            <w:r>
              <w:rPr>
                <w:rFonts w:ascii="Helvetica;sans-serif" w:hAnsi="Helvetica;sans-serif"/>
                <w:b/>
                <w:sz w:val="13"/>
              </w:rPr>
              <w:t>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Net profit (loss)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(26,762)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39,623</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Adjustments to reconcile net profit (loss) to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14,849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10,535</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Original issue discount, debt premium and debt issuance cost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1,832</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(17,272)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Reorganization items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(81,383)</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Interest on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Debt modification and extinguishment loss (gain), net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109</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(611)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Deferred income tax provision</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(4,182)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375</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484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Unrealized foreign currency loss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37</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Loss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225</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Fair value adjustment for private warrants liability</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Payment-in-kind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1,174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Change in operating assets and liabilities, net of effect from acquisitions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639</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(26,379)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(1,109)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1,817</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9,148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29,181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Related party receivables (payables)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(626)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(185)</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Additions to outsourced contract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(141)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(67)</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(5,045)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(43,719)</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Purchase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(1,088)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(1,270)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Additions to internally developed software</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(552)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(506)</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Proceeds from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84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(1,556)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(1,773)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Cash paid for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(834)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Cash paid for withholding taxes on vested RSUs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(73)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Principal payments on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(1,101)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(1,194)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Borrowings from other loans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10,236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441</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Proceeds from Super Senior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4,000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Proceeds from ABL Facility</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133,700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Repayments on ABL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(141,376)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Repayment of Second Lien Note</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(3,250)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Proceeds from DIP New Money Loans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Borrowing under BR Exar AR Facility</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10,675</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Repayments under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(1,440)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(12,286)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Borrowing under Amended BR Exar AR Facility</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20,000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Repayments under Amended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(10,290)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Repayments on 2028 Term Loan Facilities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(817)</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Principal repayments on senior secured term loans and other loans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(17,208)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(9,326)</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(8,453)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38,253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Effect of exchange rates on cash,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(509)</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108</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Net decrease in cash, restricted cash and cash equivalents</w:t>
            </w:r>
          </w:p>
        </w:tc>
        <w:tc>
          <w:tcPr>
            <w:tcW w:w="346" w:type="dxa"/>
            <w:tcBorders/>
            <w:vAlign w:val="center"/>
          </w:tcPr>
          <w:p>
            <w:pPr>
              <w:pStyle w:val="TableContents"/>
              <w:bidi w:val="0"/>
              <w:spacing w:before="0" w:after="0"/>
              <w:ind w:left="0" w:right="0" w:hanging="0"/>
              <w:jc w:val="left"/>
              <w:rPr/>
            </w:pPr>
            <w:r>
              <w:rPr/>
              <w:t>​</w:t>
            </w:r>
          </w:p>
        </w:tc>
        <w:tc>
          <w:tcPr>
            <w:tcW w:w="29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(15,563)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3"/>
              </w:rPr>
            </w:pPr>
            <w:r>
              <w:rPr>
                <w:rFonts w:ascii="Helvetica;sans-serif" w:hAnsi="Helvetica;sans-serif"/>
                <w:b/>
                <w:sz w:val="13"/>
              </w:rPr>
              <w:t>(7,131)</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Cash,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Beginning of period</w:t>
            </w:r>
          </w:p>
        </w:tc>
        <w:tc>
          <w:tcPr>
            <w:tcW w:w="346" w:type="dxa"/>
            <w:tcBorders/>
            <w:vAlign w:val="center"/>
          </w:tcPr>
          <w:p>
            <w:pPr>
              <w:pStyle w:val="TableContents"/>
              <w:bidi w:val="0"/>
              <w:spacing w:before="0" w:after="0"/>
              <w:ind w:left="0" w:right="0" w:hanging="0"/>
              <w:jc w:val="left"/>
              <w:rPr/>
            </w:pPr>
            <w:r>
              <w:rPr/>
              <w:t>​</w:t>
            </w:r>
          </w:p>
        </w:tc>
        <w:tc>
          <w:tcPr>
            <w:tcW w:w="29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68,666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64,067</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53,103</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3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56,936</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Supplemental cash flow data:</w:t>
            </w:r>
          </w:p>
        </w:tc>
        <w:tc>
          <w:tcPr>
            <w:tcW w:w="346" w:type="dxa"/>
            <w:tcBorders/>
            <w:vAlign w:val="center"/>
          </w:tcPr>
          <w:p>
            <w:pPr>
              <w:pStyle w:val="TableContents"/>
              <w:bidi w:val="0"/>
              <w:spacing w:before="0" w:after="0"/>
              <w:ind w:left="0" w:right="0" w:hanging="0"/>
              <w:jc w:val="left"/>
              <w:rPr/>
            </w:pPr>
            <w:r>
              <w:rPr/>
              <w:t>​</w:t>
            </w:r>
          </w:p>
        </w:tc>
        <w:tc>
          <w:tcPr>
            <w:tcW w:w="29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Income tax payments, net of refunds received</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1,261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Helvetica;sans-serif" w:hAnsi="Helvetica;sans-serif"/>
                <w:sz w:val="13"/>
              </w:rPr>
            </w:pPr>
            <w:r>
              <w:rPr>
                <w:rFonts w:ascii="Helvetica;sans-serif" w:hAnsi="Helvetica;sans-serif"/>
                <w:sz w:val="13"/>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1,219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Interest paid</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14,705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4,356</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Cash paid for reorganization items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20,538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b/>
                <w:sz w:val="13"/>
              </w:rPr>
            </w:pPr>
            <w:r>
              <w:rPr>
                <w:rFonts w:ascii="Helvetica;sans-serif" w:hAnsi="Helvetica;sans-serif"/>
                <w:b/>
                <w:sz w:val="13"/>
              </w:rPr>
              <w:t>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Assets acquired through right-of-use arrangements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467</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2,315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Amendment fee payable on Amended BR Exar Facility accrued</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1,000</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Helvetica;sans-serif" w:hAnsi="Helvetica;sans-serif"/>
                <w:sz w:val="13"/>
              </w:rPr>
            </w:pPr>
            <w:r>
              <w:rPr>
                <w:rFonts w:ascii="Helvetica;sans-serif" w:hAnsi="Helvetica;sans-serif"/>
                <w:sz w:val="13"/>
              </w:rPr>
              <w:t>Accrued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46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Helvetica;sans-serif" w:hAnsi="Helvetica;sans-serif"/>
                <w:sz w:val="13"/>
              </w:rPr>
            </w:pPr>
            <w:r>
              <w:rPr>
                <w:rFonts w:ascii="Helvetica;sans-serif" w:hAnsi="Helvetica;sans-serif"/>
                <w:sz w:val="13"/>
              </w:rPr>
              <w:t>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Reconciliation of Revenue and Gross Profit As Reported to Combined Pro Forma Revenue and Gross Profit for the Three Months Ended March 31, 2026</w:t>
      </w:r>
    </w:p>
    <w:p>
      <w:pPr>
        <w:pStyle w:val="TextBody"/>
        <w:bidi w:val="0"/>
        <w:spacing w:before="0" w:after="120"/>
        <w:ind w:left="0" w:right="0" w:hanging="0"/>
        <w:jc w:val="center"/>
        <w:rPr>
          <w:rFonts w:ascii="Helvetica;sans-serif" w:hAnsi="Helvetica;sans-serif"/>
          <w:i/>
          <w:sz w:val="18"/>
        </w:rPr>
      </w:pPr>
      <w:r>
        <w:rPr>
          <w:rFonts w:ascii="Helvetica;sans-serif" w:hAnsi="Helvetica;sans-serif"/>
          <w:i/>
          <w:sz w:val="18"/>
        </w:rPr>
        <w:t>(in thousands of United States dollars)</w:t>
        <w:br/>
        <w:t>(Unaudited)</w:t>
      </w:r>
    </w:p>
    <w:tbl>
      <w:tblPr>
        <w:tblW w:w="6244" w:type="dxa"/>
        <w:jc w:val="center"/>
        <w:tblInd w:w="0" w:type="dxa"/>
        <w:tblLayout w:type="fixed"/>
        <w:tblCellMar>
          <w:top w:w="0" w:type="dxa"/>
          <w:left w:w="0" w:type="dxa"/>
          <w:bottom w:w="28" w:type="dxa"/>
          <w:right w:w="28" w:type="dxa"/>
        </w:tblCellMar>
      </w:tblPr>
      <w:tblGrid>
        <w:gridCol w:w="3751"/>
        <w:gridCol w:w="886"/>
        <w:gridCol w:w="886"/>
        <w:gridCol w:w="721"/>
      </w:tblGrid>
      <w:tr>
        <w:trPr/>
        <w:tc>
          <w:tcPr>
            <w:tcW w:w="3751" w:type="dxa"/>
            <w:tcBorders>
              <w:bottom w:val="single" w:sz="8" w:space="0" w:color="000000"/>
              <w:right w:val="single" w:sz="8" w:space="0" w:color="000000"/>
            </w:tcBorders>
            <w:vAlign w:val="center"/>
          </w:tcPr>
          <w:p>
            <w:pPr>
              <w:pStyle w:val="TableContents"/>
              <w:bidi w:val="0"/>
              <w:spacing w:before="0" w:after="0"/>
              <w:ind w:left="0" w:right="0" w:hanging="0"/>
              <w:jc w:val="left"/>
              <w:rPr/>
            </w:pPr>
            <w:r>
              <w:rPr/>
              <w:t>​</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Q1 2026</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Q1 2025</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As Reported Revenue</w:t>
            </w:r>
          </w:p>
        </w:tc>
        <w:tc>
          <w:tcPr>
            <w:tcW w:w="886" w:type="dxa"/>
            <w:vMerge w:val="restart"/>
            <w:tcBorders/>
            <w:tcMar>
              <w:bottom w:w="0" w:type="dxa"/>
              <w:right w:w="0" w:type="dxa"/>
            </w:tcMar>
            <w:vAlign w:val="center"/>
          </w:tcPr>
          <w:p>
            <w:pPr>
              <w:pStyle w:val="TableContents"/>
              <w:bidi w:val="0"/>
              <w:spacing w:before="0" w:after="0"/>
              <w:ind w:left="0" w:right="0" w:hanging="0"/>
              <w:jc w:val="left"/>
              <w:rPr>
                <w:rFonts w:ascii="Helvetica;sans-serif" w:hAnsi="Helvetica;sans-serif"/>
                <w:b w:val="false"/>
                <w:i w:val="false"/>
                <w:caps w:val="false"/>
                <w:smallCaps w:val="false"/>
                <w:color w:val="000000"/>
                <w:sz w:val="18"/>
              </w:rPr>
            </w:pPr>
            <w:r>
              <w:rPr>
                <w:rFonts w:ascii="Helvetica;sans-serif" w:hAnsi="Helvetica;sans-serif"/>
                <w:b w:val="false"/>
                <w:i w:val="false"/>
                <w:caps w:val="false"/>
                <w:smallCaps w:val="false"/>
                <w:color w:val="000000"/>
                <w:sz w:val="18"/>
              </w:rPr>
              <w:t>$197,132</w:t>
            </w:r>
          </w:p>
        </w:tc>
        <w:tc>
          <w:tcPr>
            <w:tcW w:w="886"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$191,979</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-1,626</w:t>
            </w:r>
          </w:p>
        </w:tc>
      </w:tr>
      <w:tr>
        <w:trPr/>
        <w:tc>
          <w:tcPr>
            <w:tcW w:w="375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Revenue Adjustment for XBP Europe</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39,332</w:t>
            </w:r>
          </w:p>
        </w:tc>
      </w:tr>
      <w:tr>
        <w:trPr/>
        <w:tc>
          <w:tcPr>
            <w:tcW w:w="3751"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Pro Forma Revenue</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$197,132</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$229,686</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As Reported Cost of Revenue</w:t>
            </w:r>
          </w:p>
        </w:tc>
        <w:tc>
          <w:tcPr>
            <w:tcW w:w="886" w:type="dxa"/>
            <w:vMerge w:val="restart"/>
            <w:tcBorders/>
            <w:tcMar>
              <w:bottom w:w="0" w:type="dxa"/>
              <w:right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Helvetica;sans-serif" w:hAnsi="Helvetica;sans-serif"/>
                <w:b w:val="false"/>
                <w:i w:val="false"/>
                <w:caps w:val="false"/>
                <w:smallCaps w:val="false"/>
                <w:color w:val="000000"/>
                <w:sz w:val="18"/>
              </w:rPr>
            </w:pPr>
            <w:r>
              <w:rPr>
                <w:rFonts w:ascii="Helvetica;sans-serif" w:hAnsi="Helvetica;sans-serif"/>
                <w:b w:val="false"/>
                <w:i w:val="false"/>
                <w:caps w:val="false"/>
                <w:smallCaps w:val="false"/>
                <w:color w:val="000000"/>
                <w:sz w:val="18"/>
              </w:rPr>
              <w:t>$151,897</w:t>
            </w:r>
          </w:p>
        </w:tc>
        <w:tc>
          <w:tcPr>
            <w:tcW w:w="886"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$150,645</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1,742</w:t>
            </w:r>
          </w:p>
        </w:tc>
      </w:tr>
      <w:tr>
        <w:trPr/>
        <w:tc>
          <w:tcPr>
            <w:tcW w:w="375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Cost of Revenue Adjustment for XBP Europe</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26,308</w:t>
            </w:r>
          </w:p>
        </w:tc>
      </w:tr>
      <w:tr>
        <w:trPr/>
        <w:tc>
          <w:tcPr>
            <w:tcW w:w="3751"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Pro Forma Cost of Revenue</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$151,897</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$178,693</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As Reported Gross Profit</w:t>
            </w:r>
          </w:p>
        </w:tc>
        <w:tc>
          <w:tcPr>
            <w:tcW w:w="886" w:type="dxa"/>
            <w:vMerge w:val="restart"/>
            <w:tcBorders/>
            <w:tcMar>
              <w:bottom w:w="0" w:type="dxa"/>
              <w:right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Helvetica;sans-serif" w:hAnsi="Helvetica;sans-serif"/>
                <w:b w:val="false"/>
                <w:i w:val="false"/>
                <w:caps w:val="false"/>
                <w:smallCaps w:val="false"/>
                <w:color w:val="000000"/>
                <w:sz w:val="18"/>
              </w:rPr>
            </w:pPr>
            <w:r>
              <w:rPr>
                <w:rFonts w:ascii="Helvetica;sans-serif" w:hAnsi="Helvetica;sans-serif"/>
                <w:b w:val="false"/>
                <w:i w:val="false"/>
                <w:caps w:val="false"/>
                <w:smallCaps w:val="false"/>
                <w:color w:val="000000"/>
                <w:sz w:val="18"/>
              </w:rPr>
              <w:t>$45,235</w:t>
            </w:r>
          </w:p>
        </w:tc>
        <w:tc>
          <w:tcPr>
            <w:tcW w:w="886" w:type="dxa"/>
            <w:tcBorders>
              <w:top w:val="single" w:sz="8" w:space="0" w:color="000000"/>
              <w:left w:val="single" w:sz="8" w:space="0" w:color="000000"/>
              <w:right w:val="single" w:sz="8" w:space="0" w:color="000000"/>
            </w:tcBorders>
            <w:tcMar>
              <w:top w:w="28" w:type="dxa"/>
              <w:left w:w="28" w:type="dxa"/>
              <w:bottom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$41,334</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r>
        <w:trPr/>
        <w:tc>
          <w:tcPr>
            <w:tcW w:w="375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right w:val="single" w:sz="8" w:space="0" w:color="000000"/>
            </w:tcBorders>
            <w:tcMar>
              <w:left w:w="28" w:type="dxa"/>
              <w:bottom w:w="0"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-3,368</w:t>
            </w:r>
          </w:p>
        </w:tc>
      </w:tr>
      <w:tr>
        <w:trPr/>
        <w:tc>
          <w:tcPr>
            <w:tcW w:w="375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Gross Profit Adjustment for XBP Europe</w:t>
            </w:r>
          </w:p>
        </w:tc>
        <w:tc>
          <w:tcPr>
            <w:tcW w:w="886" w:type="dxa"/>
            <w:vMerge w:val="continue"/>
            <w:tcBorders/>
            <w:tcMar>
              <w:bottom w:w="0" w:type="dxa"/>
              <w:right w:w="0" w:type="dxa"/>
            </w:tcMar>
            <w:vAlign w:val="center"/>
          </w:tcPr>
          <w:p>
            <w:pPr>
              <w:pStyle w:val="Normal"/>
              <w:bidi w:val="0"/>
              <w:jc w:val="left"/>
              <w:rPr/>
            </w:pPr>
            <w:r>
              <w:rPr/>
            </w:r>
          </w:p>
        </w:tc>
        <w:tc>
          <w:tcPr>
            <w:tcW w:w="886"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left"/>
              <w:rPr/>
            </w:pPr>
            <w:r>
              <w:rPr/>
              <w:t>​</w:t>
            </w:r>
          </w:p>
        </w:tc>
        <w:tc>
          <w:tcPr>
            <w:tcW w:w="721" w:type="dxa"/>
            <w:tcBorders>
              <w:left w:val="single" w:sz="8" w:space="0" w:color="000000"/>
              <w:bottom w:val="single" w:sz="8" w:space="0" w:color="000000"/>
              <w:right w:val="single" w:sz="8" w:space="0" w:color="000000"/>
            </w:tcBorders>
            <w:tcMar>
              <w:left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13,025</w:t>
            </w:r>
          </w:p>
        </w:tc>
      </w:tr>
      <w:tr>
        <w:trPr/>
        <w:tc>
          <w:tcPr>
            <w:tcW w:w="3751"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Pro Forma Gross Profit</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$45,235</w:t>
            </w:r>
          </w:p>
        </w:tc>
        <w:tc>
          <w:tcPr>
            <w:tcW w:w="886" w:type="dxa"/>
            <w:tcBorders>
              <w:top w:val="single" w:sz="8" w:space="0" w:color="000000"/>
              <w:left w:val="single" w:sz="8" w:space="0" w:color="000000"/>
              <w:bottom w:val="single" w:sz="8" w:space="0" w:color="000000"/>
              <w:right w:val="single" w:sz="8" w:space="0" w:color="000000"/>
            </w:tcBorders>
            <w:tcMar>
              <w:top w:w="28" w:type="dxa"/>
              <w:left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$50,992</w:t>
            </w:r>
          </w:p>
        </w:tc>
        <w:tc>
          <w:tcPr>
            <w:tcW w:w="721" w:type="dxa"/>
            <w:tcBorders/>
            <w:tcMar>
              <w:top w:w="28" w:type="dxa"/>
              <w:left w:w="28" w:type="dxa"/>
            </w:tcMa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880" w:right="0" w:hanging="0"/>
        <w:jc w:val="left"/>
        <w:rPr>
          <w:rFonts w:ascii="Helvetica;sans-serif" w:hAnsi="Helvetica;sans-serif"/>
          <w:b/>
          <w:sz w:val="18"/>
        </w:rPr>
      </w:pPr>
      <w:r>
        <w:rPr>
          <w:rFonts w:ascii="Helvetica;sans-serif" w:hAnsi="Helvetica;sans-serif"/>
          <w:b/>
          <w:sz w:val="18"/>
        </w:rPr>
        <w:t>Reconciliation of Net Income to Pro Forma Normalized EBITDA for the Three Months Ended March 31, 2026</w:t>
      </w:r>
    </w:p>
    <w:p>
      <w:pPr>
        <w:pStyle w:val="TextBody"/>
        <w:bidi w:val="0"/>
        <w:spacing w:before="0" w:after="120"/>
        <w:ind w:left="0" w:right="0" w:hanging="0"/>
        <w:jc w:val="center"/>
        <w:rPr>
          <w:rFonts w:ascii="Helvetica;sans-serif" w:hAnsi="Helvetica;sans-serif"/>
          <w:i/>
          <w:sz w:val="18"/>
        </w:rPr>
      </w:pPr>
      <w:r>
        <w:rPr>
          <w:rFonts w:ascii="Helvetica;sans-serif" w:hAnsi="Helvetica;sans-serif"/>
          <w:i/>
          <w:sz w:val="18"/>
        </w:rPr>
        <w:t>(in thousands of United States dollars)</w:t>
        <w:b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090" w:type="dxa"/>
        <w:jc w:val="center"/>
        <w:tblInd w:w="0" w:type="dxa"/>
        <w:tblLayout w:type="fixed"/>
        <w:tblCellMar>
          <w:top w:w="0" w:type="dxa"/>
          <w:left w:w="0" w:type="dxa"/>
          <w:bottom w:w="0" w:type="dxa"/>
          <w:right w:w="0" w:type="dxa"/>
        </w:tblCellMar>
      </w:tblPr>
      <w:tblGrid>
        <w:gridCol w:w="4531"/>
        <w:gridCol w:w="346"/>
        <w:gridCol w:w="314"/>
        <w:gridCol w:w="1097"/>
        <w:gridCol w:w="346"/>
        <w:gridCol w:w="309"/>
        <w:gridCol w:w="1147"/>
      </w:tblGrid>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99390" cy="175260"/>
                      <wp:effectExtent l="0" t="0" r="0" b="0"/>
                      <wp:wrapNone/>
                      <wp:docPr id="35" name="Frame3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6215" cy="175260"/>
                      <wp:effectExtent l="0" t="0" r="0" b="0"/>
                      <wp:wrapNone/>
                      <wp:docPr id="37" name="Frame36"/>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3" w:type="dxa"/>
            <w:gridSpan w:val="5"/>
            <w:tcBorders/>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b/>
                <w:sz w:val="18"/>
              </w:rPr>
              <w:t>Three</w:t>
            </w:r>
            <w:r>
              <w:rPr>
                <w:rFonts w:ascii="Helvetica;sans-serif" w:hAnsi="Helvetica;sans-serif"/>
                <w:sz w:val="18"/>
              </w:rPr>
              <w:t> </w:t>
            </w:r>
            <w:r>
              <w:rPr>
                <w:rFonts w:ascii="Helvetica;sans-serif" w:hAnsi="Helvetica;sans-serif"/>
                <w:b/>
                <w:sz w:val="18"/>
              </w:rPr>
              <w:t>Months</w:t>
            </w:r>
            <w:r>
              <w:rPr>
                <w:rFonts w:ascii="Helvetica;sans-serif" w:hAnsi="Helvetica;sans-serif"/>
                <w:sz w:val="18"/>
              </w:rPr>
              <w:t> </w:t>
            </w:r>
            <w:r>
              <w:rPr>
                <w:rFonts w:ascii="Helvetica;sans-serif" w:hAnsi="Helvetica;sans-serif"/>
                <w:b/>
                <w:sz w:val="18"/>
              </w:rPr>
              <w:t>Ended</w:t>
            </w:r>
          </w:p>
        </w:tc>
      </w:tr>
      <w:tr>
        <w:trPr/>
        <w:tc>
          <w:tcPr>
            <w:tcW w:w="45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b/>
                <w:sz w:val="18"/>
              </w:rPr>
              <w:t>March</w:t>
            </w:r>
            <w:r>
              <w:rPr>
                <w:rFonts w:ascii="Helvetica;sans-serif" w:hAnsi="Helvetica;sans-serif"/>
                <w:sz w:val="18"/>
              </w:rPr>
              <w:t> </w:t>
            </w:r>
            <w:r>
              <w:rPr>
                <w:rFonts w:ascii="Helvetica;sans-serif" w:hAnsi="Helvetica;sans-serif"/>
                <w:b/>
                <w:sz w:val="18"/>
              </w:rPr>
              <w:t>31,</w:t>
            </w:r>
            <w:r>
              <w:rPr>
                <w:rFonts w:ascii="Helvetica;sans-serif" w:hAnsi="Helvetica;sans-serif"/>
                <w:sz w:val="18"/>
              </w:rPr>
              <w:t> </w:t>
            </w:r>
            <w:r>
              <w:rPr>
                <w:rFonts w:ascii="Helvetica;sans-serif" w:hAnsi="Helvetica;sans-serif"/>
                <w:b/>
                <w:sz w:val="18"/>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18"/>
              </w:rPr>
            </w:pPr>
            <w:r>
              <w:rPr>
                <w:rFonts w:ascii="Helvetica;sans-serif" w:hAnsi="Helvetica;sans-serif"/>
                <w:b/>
                <w:sz w:val="18"/>
              </w:rPr>
              <w:t>March</w:t>
            </w:r>
            <w:r>
              <w:rPr>
                <w:rFonts w:ascii="Helvetica;sans-serif" w:hAnsi="Helvetica;sans-serif"/>
                <w:sz w:val="18"/>
              </w:rPr>
              <w:t> </w:t>
            </w:r>
            <w:r>
              <w:rPr>
                <w:rFonts w:ascii="Helvetica;sans-serif" w:hAnsi="Helvetica;sans-serif"/>
                <w:b/>
                <w:sz w:val="18"/>
              </w:rPr>
              <w:t>31,</w:t>
            </w:r>
            <w:r>
              <w:rPr>
                <w:rFonts w:ascii="Helvetica;sans-serif" w:hAnsi="Helvetica;sans-serif"/>
                <w:sz w:val="18"/>
              </w:rPr>
              <w:t> </w:t>
            </w:r>
            <w:r>
              <w:rPr>
                <w:rFonts w:ascii="Helvetica;sans-serif" w:hAnsi="Helvetica;sans-serif"/>
                <w:b/>
                <w:sz w:val="18"/>
              </w:rPr>
              <w:t>2025</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Net income (loss)</w:t>
            </w:r>
          </w:p>
        </w:tc>
        <w:tc>
          <w:tcPr>
            <w:tcW w:w="346" w:type="dxa"/>
            <w:tcBorders/>
            <w:shd w:fill="CCEEFF" w:val="clear"/>
            <w:vAlign w:val="center"/>
          </w:tcPr>
          <w:p>
            <w:pPr>
              <w:pStyle w:val="TableContents"/>
              <w:bidi w:val="0"/>
              <w:spacing w:before="0" w:after="0"/>
              <w:ind w:left="0" w:right="0" w:hanging="0"/>
              <w:jc w:val="left"/>
              <w:rPr/>
            </w:pPr>
            <w:r>
              <w:rPr/>
              <w:t>  ​ ​ ​</w:t>
            </w:r>
          </w:p>
        </w:tc>
        <w:tc>
          <w:tcPr>
            <w:tcW w:w="31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w:t>
            </w:r>
          </w:p>
        </w:tc>
        <w:tc>
          <w:tcPr>
            <w:tcW w:w="109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(26,762)</w:t>
            </w:r>
          </w:p>
        </w:tc>
        <w:tc>
          <w:tcPr>
            <w:tcW w:w="346" w:type="dxa"/>
            <w:tcBorders/>
            <w:shd w:fill="CCEEFF" w:val="clear"/>
            <w:vAlign w:val="center"/>
          </w:tcPr>
          <w:p>
            <w:pPr>
              <w:pStyle w:val="TableContents"/>
              <w:bidi w:val="0"/>
              <w:spacing w:before="0" w:after="0"/>
              <w:ind w:left="0" w:right="0" w:hanging="0"/>
              <w:jc w:val="left"/>
              <w:rPr/>
            </w:pPr>
            <w:r>
              <w:rPr/>
              <w:t>  ​ ​ ​</w:t>
            </w:r>
          </w:p>
        </w:tc>
        <w:tc>
          <w:tcPr>
            <w:tcW w:w="30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w:t>
            </w:r>
          </w:p>
        </w:tc>
        <w:tc>
          <w:tcPr>
            <w:tcW w:w="114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39,619</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XBP Europe Net Loss</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u w:val="single"/>
              </w:rPr>
            </w:pPr>
            <w:r>
              <w:rPr>
                <w:rFonts w:ascii="Helvetica;sans-serif" w:hAnsi="Helvetica;sans-serif"/>
                <w:sz w:val="18"/>
                <w:u w:val="single"/>
              </w:rPr>
              <w:t>(4,348)</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(26,762)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35,271</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Income tax expense</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(1,435)</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2,790</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Interest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14,069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25,515</w:t>
            </w:r>
          </w:p>
        </w:tc>
      </w:tr>
      <w:tr>
        <w:trPr/>
        <w:tc>
          <w:tcPr>
            <w:tcW w:w="45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Depreciation and 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14,849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11,194</w:t>
            </w:r>
          </w:p>
        </w:tc>
      </w:tr>
      <w:tr>
        <w:trPr/>
        <w:tc>
          <w:tcPr>
            <w:tcW w:w="453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EBITDA</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09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721</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14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74,769</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Reorganization items</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8,616</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(60,845)</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Optimization and restructuring expenses (1)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2,731</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2,825</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Severance</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1,327</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1,653</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Foreign exchange losses, net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746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(71)</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Non-cash equity compensation (2)</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484</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3,923</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Transaction and integration costs (3)</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481</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Restructuring and related expenses</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264</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Loss (gain) on sale of assets (4)</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EBITDA from Previously Discontinued Operations (5)</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809</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Changes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Payroll tax penalties</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c>
          <w:tcPr>
            <w:tcW w:w="1147"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2,770</w:t>
            </w:r>
          </w:p>
        </w:tc>
      </w:tr>
      <w:tr>
        <w:trPr/>
        <w:tc>
          <w:tcPr>
            <w:tcW w:w="4531"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Debt modification and extinguishment costs (gain), net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u w:val="single"/>
              </w:rPr>
            </w:pPr>
            <w:r>
              <w:rPr>
                <w:u w:val="singl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right"/>
              <w:rPr/>
            </w:pPr>
            <w:r>
              <w:rPr/>
              <w:t>​</w:t>
            </w:r>
          </w:p>
        </w:tc>
        <w:tc>
          <w:tcPr>
            <w:tcW w:w="1147" w:type="dxa"/>
            <w:tcBorders/>
            <w:shd w:fill="CCEEFF" w:val="clear"/>
            <w:vAlign w:val="center"/>
          </w:tcPr>
          <w:p>
            <w:pPr>
              <w:pStyle w:val="TableContents"/>
              <w:bidi w:val="0"/>
              <w:spacing w:before="0" w:after="0"/>
              <w:ind w:left="0" w:right="0" w:hanging="0"/>
              <w:jc w:val="right"/>
              <w:rPr>
                <w:rFonts w:ascii="Helvetica;sans-serif" w:hAnsi="Helvetica;sans-serif"/>
                <w:sz w:val="18"/>
                <w:u w:val="single"/>
              </w:rPr>
            </w:pPr>
            <w:r>
              <w:rPr>
                <w:rFonts w:ascii="Helvetica;sans-serif" w:hAnsi="Helvetica;sans-serif"/>
                <w:sz w:val="18"/>
                <w:u w:val="single"/>
              </w:rPr>
              <w:t>109</w:t>
            </w:r>
          </w:p>
        </w:tc>
      </w:tr>
      <w:tr>
        <w:trPr/>
        <w:tc>
          <w:tcPr>
            <w:tcW w:w="4531" w:type="dxa"/>
            <w:tcBorders>
              <w:top w:val="single" w:sz="2" w:space="0" w:color="000000"/>
            </w:tcBorders>
            <w:tcMar>
              <w:top w:w="28" w:type="dxa"/>
            </w:tcM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Normalized EBITDA</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097" w:type="dxa"/>
            <w:tcBorders/>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15,595</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w:t>
            </w:r>
          </w:p>
        </w:tc>
        <w:tc>
          <w:tcPr>
            <w:tcW w:w="1147" w:type="dxa"/>
            <w:tcBorders/>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25,966</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10002"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the annualized run-rate cost savings from optimization and restructuring initiatives implemented during the period. These adjustments reflect the impact as if such cost savings had been realized for the entire period presented.</w:t>
            </w:r>
          </w:p>
        </w:tc>
      </w:tr>
    </w:tbl>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500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non-cash charges related to stock-based compensation</w:t>
            </w:r>
          </w:p>
        </w:tc>
      </w:tr>
    </w:tbl>
    <w:tbl>
      <w:tblPr>
        <w:tblW w:w="7075" w:type="dxa"/>
        <w:jc w:val="left"/>
        <w:tblInd w:w="0" w:type="dxa"/>
        <w:tblLayout w:type="fixed"/>
        <w:tblCellMar>
          <w:top w:w="0" w:type="dxa"/>
          <w:left w:w="0" w:type="dxa"/>
          <w:bottom w:w="0" w:type="dxa"/>
          <w:right w:w="0" w:type="dxa"/>
        </w:tblCellMar>
      </w:tblPr>
      <w:tblGrid>
        <w:gridCol w:w="230"/>
        <w:gridCol w:w="6845"/>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684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one-time costs associated with restructuring, including professional and legal fees</w:t>
            </w:r>
          </w:p>
        </w:tc>
      </w:tr>
    </w:tbl>
    <w:tbl>
      <w:tblPr>
        <w:tblW w:w="7750" w:type="dxa"/>
        <w:jc w:val="left"/>
        <w:tblInd w:w="0" w:type="dxa"/>
        <w:tblLayout w:type="fixed"/>
        <w:tblCellMar>
          <w:top w:w="0" w:type="dxa"/>
          <w:left w:w="0" w:type="dxa"/>
          <w:bottom w:w="0" w:type="dxa"/>
          <w:right w:w="0" w:type="dxa"/>
        </w:tblCellMar>
      </w:tblPr>
      <w:tblGrid>
        <w:gridCol w:w="230"/>
        <w:gridCol w:w="752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752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a loss/(gain) recognized on the disposal of property, plant, and equipment and other assets</w:t>
            </w:r>
          </w:p>
        </w:tc>
      </w:tr>
    </w:tbl>
    <w:tbl>
      <w:tblPr>
        <w:tblW w:w="3940" w:type="dxa"/>
        <w:jc w:val="left"/>
        <w:tblInd w:w="0" w:type="dxa"/>
        <w:tblLayout w:type="fixed"/>
        <w:tblCellMar>
          <w:top w:w="0" w:type="dxa"/>
          <w:left w:w="0" w:type="dxa"/>
          <w:bottom w:w="0" w:type="dxa"/>
          <w:right w:w="0" w:type="dxa"/>
        </w:tblCellMar>
      </w:tblPr>
      <w:tblGrid>
        <w:gridCol w:w="230"/>
        <w:gridCol w:w="3710"/>
      </w:tblGrid>
      <w:tr>
        <w:trPr/>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(5)</w:t>
            </w:r>
          </w:p>
        </w:tc>
        <w:tc>
          <w:tcPr>
            <w:tcW w:w="371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loss related to discontinued operations</w:t>
            </w:r>
          </w:p>
        </w:tc>
      </w:tr>
    </w:tbl>
    <w:p>
      <w:pPr>
        <w:pStyle w:val="TextBody"/>
        <w:bidi w:val="0"/>
        <w:spacing w:before="0" w:after="120"/>
        <w:ind w:left="198" w:right="0" w:hanging="0"/>
        <w:jc w:val="left"/>
        <w:rPr>
          <w:rFonts w:ascii="Helvetica;sans-serif" w:hAnsi="Helvetica;sans-serif"/>
          <w:sz w:val="18"/>
        </w:rPr>
      </w:pPr>
      <w:r>
        <w:rPr>
          <w:rFonts w:ascii="Helvetica;sans-serif" w:hAnsi="Helvetica;sans-serif"/>
          <w:sz w:val="18"/>
        </w:rPr>
        <w:t>Source: XBP Global Holdings,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3758</Words>
  <Characters>22140</Characters>
  <CharactersWithSpaces>26387</CharactersWithSpaces>
  <Paragraphs>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