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5819-5_4seq1.xml.htm"/>
      <w:bookmarkStart w:id="1" w:name="kstm26258195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Srivastava Sanjay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XBP GLOBAL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6641 N. BELT LINE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XBP Global Holdings, Inc.</w:t>
              </w:r>
            </w:hyperlink>
            <w:r>
              <w:rPr/>
              <w:t xml:space="preserve"> [ </w:t>
            </w:r>
            <w:r>
              <w:rPr>
                <w:rFonts w:ascii="Times;serif" w:hAnsi="Times;serif"/>
                <w:color w:val="0000FF"/>
                <w:sz w:val="24"/>
                <w:shd w:fill="FFFFFF" w:val="clear"/>
              </w:rPr>
              <w:t>XBP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$0.0001 per share</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66,823</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91,442</w:t>
            </w:r>
            <w:r>
              <w:rPr>
                <w:rFonts w:ascii="Times;serif" w:hAnsi="Times;serif"/>
                <w:color w:val="008000"/>
                <w:position w:val="7"/>
                <w:sz w:val="16"/>
                <w:sz w:val="20"/>
                <w:shd w:fill="FFFFFF" w:val="clear"/>
              </w:rPr>
              <w:t>(2)</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issued to the Reporting Person under the Company's 2024 Stock Incentive Plan, as amended (the "Plan"). The RSUs are scheduled to vest in full on August 1, 2027 subject to the terms of the Plan. Each RSU represents the right to receive one share of the Issuer's common stock 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December 12, 2025, the Issuer's common stock reverse split 1-for-10 (the "Reverse Split"), resulting in a decrease of 221,562 shares in the reporting person's ownership of common stock. Includes RSUs previously granted to the Reporting Person under the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Sanjay Srivastava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0117" TargetMode="External"/><Relationship Id="rId5" Type="http://schemas.openxmlformats.org/officeDocument/2006/relationships/hyperlink" Target="http://www.sec.gov/cgi-bin/browse-edgar?action=getcompany&amp;CIK=00018395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670</Words>
  <Characters>3599</Characters>
  <CharactersWithSpaces>4201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