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819-3_4seq1.xml.htm"/>
      <w:bookmarkStart w:id="1" w:name="kstm2625819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Pryor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XBP GLOBAL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6641 N. BELT LINE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XBP Global Holdings, Inc.</w:t>
              </w:r>
            </w:hyperlink>
            <w:r>
              <w:rPr/>
              <w:t xml:space="preserve"> [ </w:t>
            </w:r>
            <w:r>
              <w:rPr>
                <w:rFonts w:ascii="Times;serif" w:hAnsi="Times;serif"/>
                <w:color w:val="0000FF"/>
                <w:sz w:val="24"/>
                <w:shd w:fill="FFFFFF" w:val="clear"/>
              </w:rPr>
              <w:t>XBP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55,031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75,617</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issued to the Reporting Person under the Company's 2024 Stock Incentive Plan, as amended. The RSUs are scheduled to vest in full on August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December 12, 2025, the Issuer's common stock reverse split 1-for-10 (the "Reverse Split"), resulting in a decrease of 185,272 shares in the reporting person's ownership of common stock. Includes RSUs previously granted to the Reporting Person under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Pryor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8914" TargetMode="External"/><Relationship Id="rId5" Type="http://schemas.openxmlformats.org/officeDocument/2006/relationships/hyperlink" Target="http://www.sec.gov/cgi-bin/browse-edgar?action=getcompany&amp;CIK=00018395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3476</Characters>
  <CharactersWithSpaces>4053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